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r w:rsidRPr="00081FE7">
        <w:rPr>
          <w:rFonts w:ascii="Cambria" w:hAnsi="Cambria"/>
          <w:b/>
        </w:rPr>
        <w:t>UNIDAD DE INFORMACIÓN Y ANÁLISIS FINANCIERO – UIAF</w:t>
      </w: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r w:rsidRPr="00081FE7">
        <w:rPr>
          <w:rFonts w:ascii="Cambria" w:hAnsi="Cambria"/>
          <w:b/>
        </w:rPr>
        <w:t>PLAN ANTICORRUPCIÓN Y DE ATENCIÓN AL CIUDADANO</w:t>
      </w: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b/>
        </w:rPr>
      </w:pPr>
    </w:p>
    <w:p w:rsidR="00081FE7" w:rsidRPr="00081FE7" w:rsidRDefault="00081FE7" w:rsidP="00081FE7">
      <w:pPr>
        <w:spacing w:line="259" w:lineRule="auto"/>
        <w:ind w:right="55"/>
        <w:jc w:val="center"/>
        <w:rPr>
          <w:rFonts w:ascii="Cambria" w:hAnsi="Cambria"/>
        </w:rPr>
      </w:pPr>
      <w:r w:rsidRPr="00081FE7">
        <w:rPr>
          <w:rFonts w:ascii="Cambria" w:hAnsi="Cambria"/>
          <w:b/>
        </w:rPr>
        <w:t>Enero 2023</w:t>
      </w:r>
      <w:r w:rsidRPr="00081FE7">
        <w:rPr>
          <w:rFonts w:ascii="Cambria" w:hAnsi="Cambria"/>
        </w:rPr>
        <w:br w:type="page"/>
      </w:r>
    </w:p>
    <w:p w:rsidR="00081FE7" w:rsidRPr="00081FE7" w:rsidRDefault="00081FE7" w:rsidP="00081FE7">
      <w:pPr>
        <w:pStyle w:val="Sinespaciado"/>
        <w:ind w:right="55"/>
        <w:jc w:val="center"/>
        <w:rPr>
          <w:b/>
          <w:color w:val="auto"/>
          <w:sz w:val="32"/>
        </w:rPr>
      </w:pPr>
      <w:r w:rsidRPr="00081FE7">
        <w:rPr>
          <w:b/>
          <w:color w:val="auto"/>
          <w:sz w:val="32"/>
        </w:rPr>
        <w:lastRenderedPageBreak/>
        <w:t>TABLA DE CONTENIDO</w:t>
      </w:r>
    </w:p>
    <w:p w:rsidR="00081FE7" w:rsidRPr="00081FE7" w:rsidRDefault="00081FE7" w:rsidP="00081FE7">
      <w:pPr>
        <w:pStyle w:val="Sinespaciado"/>
        <w:rPr>
          <w:b/>
        </w:rPr>
      </w:pPr>
      <w:r w:rsidRPr="00081FE7">
        <w:rPr>
          <w:b/>
        </w:rPr>
        <w:t xml:space="preserve"> </w:t>
      </w:r>
    </w:p>
    <w:p w:rsidR="00081FE7" w:rsidRPr="00081FE7" w:rsidRDefault="00081FE7" w:rsidP="00081FE7">
      <w:pPr>
        <w:pStyle w:val="Sinespaciado"/>
      </w:pPr>
    </w:p>
    <w:p w:rsidR="00081FE7" w:rsidRPr="00081FE7" w:rsidRDefault="00081FE7" w:rsidP="00081FE7">
      <w:pPr>
        <w:pStyle w:val="Sinespaciado"/>
        <w:spacing w:line="360" w:lineRule="auto"/>
        <w:ind w:right="55"/>
        <w:rPr>
          <w:b/>
        </w:rPr>
      </w:pPr>
      <w:r w:rsidRPr="00081FE7">
        <w:rPr>
          <w:b/>
        </w:rPr>
        <w:tab/>
        <w:t>INTRODUCCIÓN</w:t>
      </w:r>
    </w:p>
    <w:p w:rsidR="00081FE7" w:rsidRPr="00081FE7" w:rsidRDefault="00081FE7" w:rsidP="00081FE7">
      <w:pPr>
        <w:pStyle w:val="Sinespaciado"/>
        <w:numPr>
          <w:ilvl w:val="0"/>
          <w:numId w:val="19"/>
        </w:numPr>
        <w:spacing w:line="360" w:lineRule="auto"/>
        <w:ind w:left="709" w:right="55" w:hanging="709"/>
        <w:rPr>
          <w:b/>
        </w:rPr>
      </w:pPr>
      <w:r w:rsidRPr="00081FE7">
        <w:rPr>
          <w:b/>
        </w:rPr>
        <w:t>MARCO NORMATIVO</w:t>
      </w:r>
    </w:p>
    <w:p w:rsidR="00081FE7" w:rsidRPr="00081FE7" w:rsidRDefault="00081FE7" w:rsidP="00081FE7">
      <w:pPr>
        <w:pStyle w:val="Sinespaciado"/>
        <w:numPr>
          <w:ilvl w:val="0"/>
          <w:numId w:val="19"/>
        </w:numPr>
        <w:spacing w:line="360" w:lineRule="auto"/>
        <w:ind w:left="709" w:right="55" w:hanging="709"/>
        <w:rPr>
          <w:b/>
        </w:rPr>
      </w:pPr>
      <w:r w:rsidRPr="00081FE7">
        <w:rPr>
          <w:b/>
        </w:rPr>
        <w:t>ACCIONES PRELIMINARES AL PLAN ANTICORRUPCIÓN Y DE ATENCIÓN AL CIUDADANO</w:t>
      </w:r>
    </w:p>
    <w:p w:rsidR="00081FE7" w:rsidRPr="00081FE7" w:rsidRDefault="00081FE7" w:rsidP="00081FE7">
      <w:pPr>
        <w:pStyle w:val="Sinespaciado"/>
        <w:numPr>
          <w:ilvl w:val="1"/>
          <w:numId w:val="19"/>
        </w:numPr>
        <w:spacing w:line="360" w:lineRule="auto"/>
        <w:ind w:left="709" w:right="55" w:hanging="709"/>
        <w:rPr>
          <w:b/>
        </w:rPr>
      </w:pPr>
      <w:r w:rsidRPr="00081FE7">
        <w:rPr>
          <w:b/>
        </w:rPr>
        <w:t>CONTEXTO ESTRATÉGICO</w:t>
      </w:r>
    </w:p>
    <w:p w:rsidR="00081FE7" w:rsidRPr="00081FE7" w:rsidRDefault="00081FE7" w:rsidP="00081FE7">
      <w:pPr>
        <w:pStyle w:val="Sinespaciado"/>
        <w:numPr>
          <w:ilvl w:val="0"/>
          <w:numId w:val="19"/>
        </w:numPr>
        <w:spacing w:line="360" w:lineRule="auto"/>
        <w:ind w:left="709" w:right="55" w:hanging="709"/>
        <w:rPr>
          <w:b/>
        </w:rPr>
      </w:pPr>
      <w:r w:rsidRPr="00081FE7">
        <w:rPr>
          <w:b/>
        </w:rPr>
        <w:t>OBJETIVOS DEL PLAN ANTICORRUPCIÓN</w:t>
      </w:r>
    </w:p>
    <w:p w:rsidR="00081FE7" w:rsidRPr="00081FE7" w:rsidRDefault="00081FE7" w:rsidP="00081FE7">
      <w:pPr>
        <w:pStyle w:val="Sinespaciado"/>
        <w:numPr>
          <w:ilvl w:val="1"/>
          <w:numId w:val="19"/>
        </w:numPr>
        <w:spacing w:line="360" w:lineRule="auto"/>
        <w:ind w:left="709" w:right="55" w:hanging="709"/>
        <w:rPr>
          <w:b/>
        </w:rPr>
      </w:pPr>
      <w:r w:rsidRPr="00081FE7">
        <w:rPr>
          <w:b/>
        </w:rPr>
        <w:t>OBJETIVO GENERAL</w:t>
      </w:r>
    </w:p>
    <w:p w:rsidR="00081FE7" w:rsidRPr="00081FE7" w:rsidRDefault="00081FE7" w:rsidP="00081FE7">
      <w:pPr>
        <w:pStyle w:val="Sinespaciado"/>
        <w:numPr>
          <w:ilvl w:val="1"/>
          <w:numId w:val="19"/>
        </w:numPr>
        <w:spacing w:line="360" w:lineRule="auto"/>
        <w:ind w:left="709" w:right="55" w:hanging="709"/>
        <w:rPr>
          <w:b/>
        </w:rPr>
      </w:pPr>
      <w:r w:rsidRPr="00081FE7">
        <w:rPr>
          <w:b/>
        </w:rPr>
        <w:t>OBJETIVOS ESPECÍFICOS</w:t>
      </w:r>
    </w:p>
    <w:p w:rsidR="00081FE7" w:rsidRPr="00081FE7" w:rsidRDefault="00081FE7" w:rsidP="00081FE7">
      <w:pPr>
        <w:pStyle w:val="Sinespaciado"/>
        <w:numPr>
          <w:ilvl w:val="0"/>
          <w:numId w:val="19"/>
        </w:numPr>
        <w:spacing w:line="360" w:lineRule="auto"/>
        <w:ind w:left="709" w:right="55" w:hanging="709"/>
        <w:rPr>
          <w:b/>
        </w:rPr>
      </w:pPr>
      <w:r w:rsidRPr="00081FE7">
        <w:rPr>
          <w:b/>
        </w:rPr>
        <w:t>CONSTRUCCIÓN DEL PLAN ANTICORRUPCIÓN</w:t>
      </w:r>
    </w:p>
    <w:p w:rsidR="00081FE7" w:rsidRPr="00081FE7" w:rsidRDefault="00081FE7" w:rsidP="00081FE7">
      <w:pPr>
        <w:pStyle w:val="Sinespaciado"/>
        <w:numPr>
          <w:ilvl w:val="0"/>
          <w:numId w:val="19"/>
        </w:numPr>
        <w:spacing w:line="360" w:lineRule="auto"/>
        <w:ind w:left="709" w:right="55" w:hanging="709"/>
        <w:rPr>
          <w:b/>
        </w:rPr>
      </w:pPr>
      <w:r w:rsidRPr="00081FE7">
        <w:rPr>
          <w:b/>
        </w:rPr>
        <w:t>COMPONENTES DEL PLAN ANTICORRUPCIÓN Y DE ATENCIÓN AL CUIDADANO</w:t>
      </w:r>
    </w:p>
    <w:p w:rsidR="00081FE7" w:rsidRPr="00081FE7" w:rsidRDefault="00081FE7" w:rsidP="00081FE7">
      <w:pPr>
        <w:pStyle w:val="Sinespaciado"/>
        <w:numPr>
          <w:ilvl w:val="1"/>
          <w:numId w:val="19"/>
        </w:numPr>
        <w:spacing w:line="360" w:lineRule="auto"/>
        <w:ind w:left="709" w:right="55" w:hanging="709"/>
        <w:rPr>
          <w:b/>
        </w:rPr>
      </w:pPr>
      <w:r w:rsidRPr="00081FE7">
        <w:rPr>
          <w:b/>
        </w:rPr>
        <w:t>GESTIÓN DEL RIESGO DE CORRUPCIÓN</w:t>
      </w:r>
    </w:p>
    <w:p w:rsidR="00081FE7" w:rsidRPr="00081FE7" w:rsidRDefault="00081FE7" w:rsidP="00081FE7">
      <w:pPr>
        <w:pStyle w:val="Sinespaciado"/>
        <w:numPr>
          <w:ilvl w:val="1"/>
          <w:numId w:val="19"/>
        </w:numPr>
        <w:spacing w:line="360" w:lineRule="auto"/>
        <w:ind w:left="709" w:right="55" w:hanging="709"/>
        <w:rPr>
          <w:b/>
        </w:rPr>
      </w:pPr>
      <w:r w:rsidRPr="00081FE7">
        <w:rPr>
          <w:b/>
        </w:rPr>
        <w:t>RACIONALIZACIÓN DE TRÁMITES</w:t>
      </w:r>
    </w:p>
    <w:p w:rsidR="00081FE7" w:rsidRPr="00081FE7" w:rsidRDefault="00081FE7" w:rsidP="00081FE7">
      <w:pPr>
        <w:pStyle w:val="Sinespaciado"/>
        <w:numPr>
          <w:ilvl w:val="1"/>
          <w:numId w:val="19"/>
        </w:numPr>
        <w:spacing w:line="360" w:lineRule="auto"/>
        <w:ind w:left="709" w:right="55" w:hanging="709"/>
        <w:rPr>
          <w:b/>
        </w:rPr>
      </w:pPr>
      <w:r w:rsidRPr="00081FE7">
        <w:rPr>
          <w:b/>
        </w:rPr>
        <w:t>RENDICIÓN DE CUENTAS</w:t>
      </w:r>
    </w:p>
    <w:p w:rsidR="00081FE7" w:rsidRPr="00081FE7" w:rsidRDefault="00081FE7" w:rsidP="00081FE7">
      <w:pPr>
        <w:pStyle w:val="Sinespaciado"/>
        <w:numPr>
          <w:ilvl w:val="1"/>
          <w:numId w:val="19"/>
        </w:numPr>
        <w:spacing w:line="360" w:lineRule="auto"/>
        <w:ind w:left="709" w:right="55" w:hanging="709"/>
        <w:rPr>
          <w:b/>
        </w:rPr>
      </w:pPr>
      <w:r w:rsidRPr="00081FE7">
        <w:rPr>
          <w:b/>
        </w:rPr>
        <w:t>MECANISMOS PARA MEJORAR LA ATENCIÓN AL CIUDADANO</w:t>
      </w:r>
    </w:p>
    <w:p w:rsidR="00081FE7" w:rsidRPr="00081FE7" w:rsidRDefault="00081FE7" w:rsidP="00081FE7">
      <w:pPr>
        <w:pStyle w:val="Sinespaciado"/>
        <w:numPr>
          <w:ilvl w:val="1"/>
          <w:numId w:val="19"/>
        </w:numPr>
        <w:spacing w:line="360" w:lineRule="auto"/>
        <w:ind w:left="709" w:right="55" w:hanging="709"/>
        <w:rPr>
          <w:b/>
        </w:rPr>
      </w:pPr>
      <w:r w:rsidRPr="00081FE7">
        <w:rPr>
          <w:b/>
        </w:rPr>
        <w:t>MECANISMOS PARA LA TRANSPARENCIA Y ACCESO A LA INFORMACIÓN PÚBLICA</w:t>
      </w:r>
    </w:p>
    <w:p w:rsidR="00081FE7" w:rsidRPr="00081FE7" w:rsidRDefault="00081FE7" w:rsidP="00081FE7">
      <w:pPr>
        <w:pStyle w:val="Sinespaciado"/>
        <w:numPr>
          <w:ilvl w:val="1"/>
          <w:numId w:val="19"/>
        </w:numPr>
        <w:spacing w:line="360" w:lineRule="auto"/>
        <w:ind w:left="709" w:right="55" w:hanging="709"/>
        <w:rPr>
          <w:b/>
        </w:rPr>
      </w:pPr>
      <w:r w:rsidRPr="00081FE7">
        <w:rPr>
          <w:b/>
        </w:rPr>
        <w:t>INICIATIVAS ADICIONALES</w:t>
      </w:r>
    </w:p>
    <w:p w:rsidR="00081FE7" w:rsidRPr="00081FE7" w:rsidRDefault="00081FE7" w:rsidP="00081FE7">
      <w:pPr>
        <w:pStyle w:val="Sinespaciado"/>
        <w:spacing w:line="360" w:lineRule="auto"/>
        <w:ind w:right="55"/>
        <w:rPr>
          <w:b/>
        </w:rPr>
      </w:pPr>
    </w:p>
    <w:p w:rsidR="00081FE7" w:rsidRPr="00081FE7" w:rsidRDefault="00081FE7" w:rsidP="00081FE7">
      <w:pPr>
        <w:pStyle w:val="Sinespaciado"/>
        <w:spacing w:line="360" w:lineRule="auto"/>
        <w:ind w:right="55"/>
        <w:rPr>
          <w:b/>
        </w:rPr>
      </w:pPr>
    </w:p>
    <w:p w:rsidR="00081FE7" w:rsidRPr="00081FE7" w:rsidRDefault="00081FE7" w:rsidP="00081FE7">
      <w:pPr>
        <w:pStyle w:val="Sinespaciado"/>
        <w:ind w:right="55"/>
        <w:rPr>
          <w:b/>
        </w:rPr>
      </w:pPr>
    </w:p>
    <w:p w:rsidR="00081FE7" w:rsidRPr="00081FE7" w:rsidRDefault="00081FE7" w:rsidP="00081FE7">
      <w:pPr>
        <w:pStyle w:val="Sinespaciado"/>
        <w:ind w:right="55"/>
        <w:rPr>
          <w:b/>
        </w:rPr>
      </w:pPr>
    </w:p>
    <w:p w:rsidR="00081FE7" w:rsidRPr="00081FE7" w:rsidRDefault="00081FE7" w:rsidP="00081FE7">
      <w:pPr>
        <w:pStyle w:val="Sinespaciado"/>
        <w:ind w:right="55"/>
      </w:pPr>
      <w:r w:rsidRPr="00081FE7">
        <w:rPr>
          <w:b/>
        </w:rPr>
        <w:t xml:space="preserve"> </w:t>
      </w:r>
    </w:p>
    <w:p w:rsidR="00081FE7" w:rsidRPr="00081FE7" w:rsidRDefault="00081FE7" w:rsidP="00081FE7">
      <w:pPr>
        <w:pStyle w:val="Sinespaciado"/>
        <w:rPr>
          <w:b/>
          <w:color w:val="auto"/>
          <w:sz w:val="22"/>
        </w:rPr>
      </w:pPr>
      <w:r w:rsidRPr="00081FE7">
        <w:br w:type="page"/>
      </w:r>
      <w:r w:rsidRPr="00081FE7">
        <w:rPr>
          <w:b/>
          <w:color w:val="auto"/>
          <w:sz w:val="22"/>
        </w:rPr>
        <w:lastRenderedPageBreak/>
        <w:t>INTRODUCCIÓN</w:t>
      </w:r>
    </w:p>
    <w:p w:rsidR="00081FE7" w:rsidRPr="00081FE7" w:rsidRDefault="00081FE7" w:rsidP="00081FE7">
      <w:pPr>
        <w:spacing w:line="259" w:lineRule="auto"/>
        <w:rPr>
          <w:rFonts w:ascii="Cambria" w:hAnsi="Cambria"/>
        </w:rPr>
      </w:pPr>
      <w:r w:rsidRPr="00081FE7">
        <w:rPr>
          <w:rFonts w:ascii="Cambria" w:hAnsi="Cambria"/>
          <w:sz w:val="22"/>
        </w:rPr>
        <w:t xml:space="preserve"> </w:t>
      </w:r>
    </w:p>
    <w:p w:rsidR="00081FE7" w:rsidRPr="00081FE7" w:rsidRDefault="00081FE7" w:rsidP="00081FE7">
      <w:pPr>
        <w:pStyle w:val="Sinespaciado"/>
        <w:ind w:right="55"/>
        <w:rPr>
          <w:sz w:val="22"/>
        </w:rPr>
      </w:pPr>
      <w:r w:rsidRPr="00081FE7">
        <w:rPr>
          <w:sz w:val="22"/>
        </w:rPr>
        <w:t xml:space="preserve">La Unidad de Información y Análisis Financiero –UIAF-, es una unidad administrativa especial, adscrita al Ministerio de Hacienda y Crédito Público, cuyas funciones son las de intervenir en la economía del Estado mediante actividades de inteligencia financiera, a fin de detectar y prevenir el lavado de activos, </w:t>
      </w:r>
      <w:r w:rsidR="00980ED7">
        <w:rPr>
          <w:sz w:val="22"/>
        </w:rPr>
        <w:t>el Financiamiento del Terrorismo</w:t>
      </w:r>
      <w:r w:rsidRPr="00081FE7">
        <w:rPr>
          <w:sz w:val="22"/>
        </w:rPr>
        <w:t>, operaciones sospechosas de comercio exterior, que puedan tener relación directa o indirecta con actividades de contrabando y fraude aduanero (Leyes 526 de 1999, 1121 de 2006 y 1762 de 2015).</w:t>
      </w:r>
    </w:p>
    <w:p w:rsidR="00081FE7" w:rsidRPr="00081FE7" w:rsidRDefault="00081FE7" w:rsidP="00081FE7">
      <w:pPr>
        <w:pStyle w:val="Sinespaciado"/>
        <w:ind w:right="55"/>
        <w:rPr>
          <w:sz w:val="22"/>
        </w:rPr>
      </w:pPr>
    </w:p>
    <w:p w:rsidR="00081FE7" w:rsidRPr="00081FE7" w:rsidRDefault="00081FE7" w:rsidP="00081FE7">
      <w:pPr>
        <w:pStyle w:val="Sinespaciado"/>
        <w:ind w:right="55"/>
        <w:rPr>
          <w:sz w:val="22"/>
        </w:rPr>
      </w:pPr>
      <w:r w:rsidRPr="00081FE7">
        <w:rPr>
          <w:sz w:val="22"/>
        </w:rPr>
        <w:t>La UIAF hace parte del sistema integral que combate los delitos de Lavado de Activos y Financiación del Terrorismo y es el órgano encargado de la inteligencia financiera del País. Así mismo, ejerce la Secretaría Técnica de la Comisión de Coordinación Interinstitucional contra el Lavado de Activos – CCICLA- (Decreto 3420 de 2004).  Actúa de conformidad con la Ley 1108 de 2006 por medio de la cual se aprueba la Convención Interamericana Contra el Terrorismo.</w:t>
      </w:r>
    </w:p>
    <w:p w:rsidR="00081FE7" w:rsidRPr="00081FE7" w:rsidRDefault="00081FE7" w:rsidP="00081FE7">
      <w:pPr>
        <w:pStyle w:val="Sinespaciado"/>
        <w:ind w:right="55"/>
        <w:rPr>
          <w:sz w:val="22"/>
        </w:rPr>
      </w:pPr>
    </w:p>
    <w:p w:rsidR="00081FE7" w:rsidRPr="00081FE7" w:rsidRDefault="00081FE7" w:rsidP="00081FE7">
      <w:pPr>
        <w:spacing w:line="259" w:lineRule="auto"/>
        <w:jc w:val="both"/>
        <w:rPr>
          <w:rFonts w:ascii="Cambria" w:eastAsia="Calibri" w:hAnsi="Cambria" w:cs="Calibri"/>
          <w:sz w:val="22"/>
        </w:rPr>
      </w:pPr>
      <w:r w:rsidRPr="00081FE7">
        <w:rPr>
          <w:rFonts w:ascii="Cambria" w:eastAsia="Calibri" w:hAnsi="Cambria" w:cs="Calibri"/>
          <w:sz w:val="22"/>
        </w:rPr>
        <w:t>El Plan Anticorrupción y de Atención al Ciudadano hace parte del Modelo Integrado de Planeación y Gestión, que se aplica a los organismos y entidades del nivel central de los órdenes nacional y territorial de la Rama Ejecutiva del Poder Público y en las entidades descentralizadas con capital público y privado, en las cuales el Estado posea el 90% o más del capital social. Está contenido en la dimensión “Direccionamiento Estratégico y Planeación” y la política institucional de gestión y desempeño “Planeación Institucional”.</w:t>
      </w:r>
    </w:p>
    <w:p w:rsidR="00081FE7" w:rsidRPr="00081FE7" w:rsidRDefault="00081FE7" w:rsidP="00081FE7">
      <w:pPr>
        <w:spacing w:line="259" w:lineRule="auto"/>
        <w:rPr>
          <w:rFonts w:ascii="Cambria" w:eastAsia="Calibri" w:hAnsi="Cambria" w:cs="Calibri"/>
          <w:sz w:val="22"/>
        </w:rPr>
      </w:pPr>
    </w:p>
    <w:p w:rsidR="00081FE7" w:rsidRPr="00081FE7" w:rsidRDefault="00081FE7" w:rsidP="00081FE7">
      <w:pPr>
        <w:spacing w:line="259" w:lineRule="auto"/>
        <w:jc w:val="both"/>
        <w:rPr>
          <w:rFonts w:ascii="Cambria" w:eastAsia="Calibri" w:hAnsi="Cambria" w:cs="Calibri"/>
          <w:sz w:val="22"/>
        </w:rPr>
      </w:pPr>
      <w:r w:rsidRPr="00081FE7">
        <w:rPr>
          <w:rFonts w:ascii="Cambria" w:eastAsia="Calibri" w:hAnsi="Cambria" w:cs="Calibri"/>
          <w:sz w:val="22"/>
        </w:rPr>
        <w:t>En cumplimiento de lo establecido en el artículo 73 de la Ley 1474 de 2011 – Estatuto Anticorrupción, el artículo 52 de la Ley 1757 de 2015 - Promoción y Protección al Derecho a la Participación Ciudadana, el artículo 9 de la Ley 1712 de 2014 - Ley de Transparencia y Acceso a la Información Pública y el Decreto 124 de 2016 “por el cual se sustituye el Titulo 4 de la parte 1 del libro 2 del Decreto 1081 de 2015”, la Unidad de Información y Análisis Financiero – UAIF presenta el siguiente instrumento a través del cual ha definido acciones para la lucha contra la corrupción, el desarrollo de una gestión transparente y efectiva al servicio del ciudadano y garantizar el derecho de acceso a la información pública.</w:t>
      </w:r>
    </w:p>
    <w:p w:rsidR="00081FE7" w:rsidRPr="00081FE7" w:rsidRDefault="00081FE7" w:rsidP="00081FE7">
      <w:pPr>
        <w:spacing w:line="259" w:lineRule="auto"/>
        <w:rPr>
          <w:rFonts w:ascii="Cambria" w:eastAsia="Calibri" w:hAnsi="Cambria" w:cs="Calibri"/>
          <w:sz w:val="22"/>
        </w:rPr>
      </w:pPr>
    </w:p>
    <w:p w:rsidR="00081FE7" w:rsidRPr="00081FE7" w:rsidRDefault="00081FE7" w:rsidP="00081FE7">
      <w:pPr>
        <w:spacing w:line="259" w:lineRule="auto"/>
        <w:jc w:val="both"/>
        <w:rPr>
          <w:rFonts w:ascii="Cambria" w:eastAsia="Calibri" w:hAnsi="Cambria" w:cs="Calibri"/>
          <w:sz w:val="22"/>
        </w:rPr>
      </w:pPr>
      <w:r w:rsidRPr="00081FE7">
        <w:rPr>
          <w:rFonts w:ascii="Cambria" w:eastAsia="Calibri" w:hAnsi="Cambria" w:cs="Calibri"/>
          <w:sz w:val="22"/>
        </w:rPr>
        <w:t xml:space="preserve">El Plan Anticorrupción y de Atención al Ciudadano – PAAC contiene la estrategia de lucha contra la corrupción y de atención al ciudadano que debe ser implementada en cumplimiento a lo establecido en el artículo 73 de la Ley 1474 de 2011. Tiene un carácter preventivo para el control de la gestión, integrado por una serie de componentes independientes que cuentan con parámetros y un soporte normativo propio, y se </w:t>
      </w:r>
      <w:r w:rsidRPr="00081FE7">
        <w:rPr>
          <w:rFonts w:ascii="Cambria" w:eastAsia="Calibri" w:hAnsi="Cambria" w:cs="Calibri"/>
          <w:sz w:val="22"/>
        </w:rPr>
        <w:lastRenderedPageBreak/>
        <w:t>desarrollarán en detalle en las dimensiones de Control Interno, Gestión con Valores para Resultados (Relación Estado Ciudadano) e Información y Comunicación.</w:t>
      </w:r>
    </w:p>
    <w:p w:rsidR="00081FE7" w:rsidRPr="00081FE7" w:rsidRDefault="00081FE7" w:rsidP="00081FE7">
      <w:pPr>
        <w:spacing w:line="259" w:lineRule="auto"/>
        <w:rPr>
          <w:rFonts w:ascii="Cambria" w:eastAsia="Calibri" w:hAnsi="Cambria" w:cs="Calibri"/>
          <w:sz w:val="22"/>
        </w:rPr>
      </w:pPr>
    </w:p>
    <w:p w:rsidR="00081FE7" w:rsidRPr="00081FE7" w:rsidRDefault="00081FE7" w:rsidP="00081FE7">
      <w:pPr>
        <w:spacing w:line="259" w:lineRule="auto"/>
        <w:jc w:val="both"/>
        <w:rPr>
          <w:rFonts w:ascii="Cambria" w:eastAsia="Calibri" w:hAnsi="Cambria" w:cs="Calibri"/>
          <w:sz w:val="22"/>
        </w:rPr>
      </w:pPr>
      <w:r w:rsidRPr="00081FE7">
        <w:rPr>
          <w:rFonts w:ascii="Cambria" w:eastAsia="Calibri" w:hAnsi="Cambria" w:cs="Calibri"/>
          <w:sz w:val="22"/>
        </w:rPr>
        <w:t>Como complemento y de conformidad con lo establecido en la guía “Estrategias para la Construcción del Plan Anticorrupción y de Atención al Ciudadano Versión 2”, expedida por la Presidencia de la República, la Unidad de Información y Análisis Financiero - UIAF, ha decidido incorporar dentro del componente “Iniciativas Adicionales” una estrategia de cambio cultural, mediante la adopción de acciones para la declaración, manejo y seguimiento a los conflictos de intereses, así como para la implementación de la política de integridad, enfocado a modificar los hábitos y comportamientos cotidianos de los servidores públicos en su trabajo diario, orientado a fortalecer su quehacer de manera íntegra, eficiente y con calidad.</w:t>
      </w:r>
    </w:p>
    <w:p w:rsidR="00081FE7" w:rsidRPr="00081FE7" w:rsidRDefault="00081FE7" w:rsidP="00081FE7">
      <w:pPr>
        <w:numPr>
          <w:ilvl w:val="0"/>
          <w:numId w:val="40"/>
        </w:numPr>
        <w:spacing w:after="160" w:line="259" w:lineRule="auto"/>
        <w:ind w:left="567" w:hanging="567"/>
        <w:rPr>
          <w:rFonts w:ascii="Cambria" w:hAnsi="Cambria"/>
          <w:b/>
          <w:sz w:val="22"/>
        </w:rPr>
      </w:pPr>
      <w:r w:rsidRPr="00081FE7">
        <w:rPr>
          <w:rFonts w:ascii="Cambria" w:hAnsi="Cambria"/>
          <w:sz w:val="22"/>
        </w:rPr>
        <w:br w:type="page"/>
      </w:r>
      <w:r w:rsidRPr="00081FE7">
        <w:rPr>
          <w:rFonts w:ascii="Cambria" w:hAnsi="Cambria"/>
          <w:b/>
          <w:sz w:val="22"/>
        </w:rPr>
        <w:lastRenderedPageBreak/>
        <w:t>MARCO NORMATIVO</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269"/>
        <w:gridCol w:w="1134"/>
        <w:gridCol w:w="5011"/>
      </w:tblGrid>
      <w:tr w:rsidR="00081FE7" w:rsidRPr="00081FE7" w:rsidTr="004468AC">
        <w:trPr>
          <w:tblHeader/>
        </w:trPr>
        <w:tc>
          <w:tcPr>
            <w:tcW w:w="1554" w:type="dxa"/>
            <w:shd w:val="clear" w:color="auto" w:fill="5B9BD5"/>
            <w:vAlign w:val="center"/>
          </w:tcPr>
          <w:p w:rsidR="00081FE7" w:rsidRPr="00081FE7" w:rsidRDefault="00081FE7" w:rsidP="00A03FD7">
            <w:pPr>
              <w:spacing w:line="259" w:lineRule="auto"/>
              <w:jc w:val="center"/>
              <w:rPr>
                <w:rFonts w:ascii="Cambria" w:hAnsi="Cambria"/>
                <w:b/>
                <w:color w:val="FFFFFF"/>
                <w:sz w:val="20"/>
                <w:szCs w:val="20"/>
              </w:rPr>
            </w:pPr>
            <w:r w:rsidRPr="00081FE7">
              <w:rPr>
                <w:rFonts w:ascii="Cambria" w:hAnsi="Cambria"/>
                <w:b/>
                <w:color w:val="FFFFFF"/>
                <w:sz w:val="20"/>
                <w:szCs w:val="20"/>
              </w:rPr>
              <w:t>Componente / Tema</w:t>
            </w:r>
          </w:p>
        </w:tc>
        <w:tc>
          <w:tcPr>
            <w:tcW w:w="2269" w:type="dxa"/>
            <w:shd w:val="clear" w:color="auto" w:fill="5B9BD5"/>
            <w:vAlign w:val="center"/>
          </w:tcPr>
          <w:p w:rsidR="00081FE7" w:rsidRPr="00081FE7" w:rsidRDefault="00081FE7" w:rsidP="00A03FD7">
            <w:pPr>
              <w:spacing w:line="259" w:lineRule="auto"/>
              <w:jc w:val="center"/>
              <w:rPr>
                <w:rFonts w:ascii="Cambria" w:hAnsi="Cambria"/>
                <w:b/>
                <w:color w:val="FFFFFF"/>
                <w:sz w:val="20"/>
                <w:szCs w:val="20"/>
              </w:rPr>
            </w:pPr>
            <w:r w:rsidRPr="00081FE7">
              <w:rPr>
                <w:rFonts w:ascii="Cambria" w:hAnsi="Cambria"/>
                <w:b/>
                <w:color w:val="FFFFFF"/>
                <w:sz w:val="20"/>
                <w:szCs w:val="20"/>
              </w:rPr>
              <w:t>Norma</w:t>
            </w:r>
          </w:p>
        </w:tc>
        <w:tc>
          <w:tcPr>
            <w:tcW w:w="1134" w:type="dxa"/>
            <w:shd w:val="clear" w:color="auto" w:fill="5B9BD5"/>
            <w:vAlign w:val="center"/>
          </w:tcPr>
          <w:p w:rsidR="00081FE7" w:rsidRPr="00081FE7" w:rsidRDefault="00081FE7" w:rsidP="00A03FD7">
            <w:pPr>
              <w:spacing w:line="259" w:lineRule="auto"/>
              <w:jc w:val="center"/>
              <w:rPr>
                <w:rFonts w:ascii="Cambria" w:hAnsi="Cambria"/>
                <w:b/>
                <w:color w:val="FFFFFF"/>
                <w:sz w:val="20"/>
                <w:szCs w:val="20"/>
              </w:rPr>
            </w:pPr>
            <w:r w:rsidRPr="00081FE7">
              <w:rPr>
                <w:rFonts w:ascii="Cambria" w:hAnsi="Cambria"/>
                <w:b/>
                <w:color w:val="FFFFFF"/>
                <w:sz w:val="20"/>
                <w:szCs w:val="20"/>
              </w:rPr>
              <w:t>Artículo</w:t>
            </w:r>
          </w:p>
        </w:tc>
        <w:tc>
          <w:tcPr>
            <w:tcW w:w="5011" w:type="dxa"/>
            <w:shd w:val="clear" w:color="auto" w:fill="5B9BD5"/>
            <w:vAlign w:val="center"/>
          </w:tcPr>
          <w:p w:rsidR="00081FE7" w:rsidRPr="00081FE7" w:rsidRDefault="00081FE7" w:rsidP="00A03FD7">
            <w:pPr>
              <w:spacing w:line="259" w:lineRule="auto"/>
              <w:jc w:val="center"/>
              <w:rPr>
                <w:rFonts w:ascii="Cambria" w:hAnsi="Cambria"/>
                <w:b/>
                <w:color w:val="FFFFFF"/>
                <w:sz w:val="20"/>
                <w:szCs w:val="20"/>
              </w:rPr>
            </w:pPr>
            <w:r w:rsidRPr="00081FE7">
              <w:rPr>
                <w:rFonts w:ascii="Cambria" w:hAnsi="Cambria"/>
                <w:b/>
                <w:color w:val="FFFFFF"/>
                <w:sz w:val="20"/>
                <w:szCs w:val="20"/>
              </w:rPr>
              <w:t>Descripción de la Norma</w:t>
            </w:r>
          </w:p>
        </w:tc>
      </w:tr>
      <w:tr w:rsidR="004468AC" w:rsidRPr="00081FE7" w:rsidTr="004468AC">
        <w:tc>
          <w:tcPr>
            <w:tcW w:w="1554" w:type="dxa"/>
            <w:vMerge w:val="restart"/>
            <w:shd w:val="clear" w:color="auto" w:fill="auto"/>
            <w:vAlign w:val="center"/>
          </w:tcPr>
          <w:p w:rsidR="004468AC" w:rsidRPr="00081FE7" w:rsidRDefault="004468AC" w:rsidP="00A03FD7">
            <w:pPr>
              <w:autoSpaceDE w:val="0"/>
              <w:autoSpaceDN w:val="0"/>
              <w:adjustRightInd w:val="0"/>
              <w:jc w:val="center"/>
              <w:rPr>
                <w:rFonts w:ascii="Cambria" w:hAnsi="Cambria"/>
                <w:sz w:val="20"/>
                <w:szCs w:val="20"/>
              </w:rPr>
            </w:pPr>
            <w:r w:rsidRPr="00081FE7">
              <w:rPr>
                <w:rFonts w:ascii="Cambria" w:hAnsi="Cambria" w:cs="FuturaStd-Medium"/>
                <w:sz w:val="20"/>
                <w:szCs w:val="20"/>
              </w:rPr>
              <w:t>Metodología Plan Anticorrupción y de Atención al Ciudadano</w:t>
            </w:r>
          </w:p>
        </w:tc>
        <w:tc>
          <w:tcPr>
            <w:tcW w:w="2269" w:type="dxa"/>
            <w:shd w:val="clear" w:color="auto" w:fill="auto"/>
            <w:vAlign w:val="center"/>
          </w:tcPr>
          <w:p w:rsidR="004468AC" w:rsidRPr="00081FE7" w:rsidRDefault="004468AC" w:rsidP="00A03FD7">
            <w:pPr>
              <w:ind w:left="-107"/>
              <w:jc w:val="center"/>
              <w:rPr>
                <w:rFonts w:ascii="Cambria" w:hAnsi="Cambria"/>
                <w:sz w:val="20"/>
                <w:szCs w:val="20"/>
              </w:rPr>
            </w:pPr>
            <w:r w:rsidRPr="00081FE7">
              <w:rPr>
                <w:rFonts w:ascii="Cambria" w:hAnsi="Cambria"/>
                <w:sz w:val="20"/>
                <w:szCs w:val="20"/>
              </w:rPr>
              <w:t>Ley 1474 de 2011</w:t>
            </w:r>
          </w:p>
        </w:tc>
        <w:tc>
          <w:tcPr>
            <w:tcW w:w="1134" w:type="dxa"/>
            <w:shd w:val="clear" w:color="auto" w:fill="auto"/>
            <w:vAlign w:val="center"/>
          </w:tcPr>
          <w:p w:rsidR="004468AC" w:rsidRPr="00081FE7" w:rsidRDefault="004468AC" w:rsidP="00A03FD7">
            <w:pPr>
              <w:jc w:val="center"/>
              <w:rPr>
                <w:rFonts w:ascii="Cambria" w:hAnsi="Cambria"/>
                <w:sz w:val="20"/>
                <w:szCs w:val="20"/>
              </w:rPr>
            </w:pPr>
            <w:r w:rsidRPr="00081FE7">
              <w:rPr>
                <w:rFonts w:ascii="Cambria" w:hAnsi="Cambria"/>
                <w:sz w:val="20"/>
                <w:szCs w:val="20"/>
              </w:rPr>
              <w:t>Art. 73</w:t>
            </w:r>
          </w:p>
        </w:tc>
        <w:tc>
          <w:tcPr>
            <w:tcW w:w="5011" w:type="dxa"/>
            <w:shd w:val="clear" w:color="auto" w:fill="auto"/>
            <w:vAlign w:val="center"/>
          </w:tcPr>
          <w:p w:rsidR="004468AC" w:rsidRPr="00081FE7" w:rsidRDefault="004468AC" w:rsidP="00A03FD7">
            <w:pPr>
              <w:jc w:val="both"/>
              <w:rPr>
                <w:rFonts w:ascii="Cambria" w:hAnsi="Cambria"/>
                <w:sz w:val="20"/>
                <w:szCs w:val="20"/>
              </w:rPr>
            </w:pPr>
            <w:r w:rsidRPr="00081FE7">
              <w:rPr>
                <w:rFonts w:ascii="Cambria" w:hAnsi="Cambria"/>
                <w:b/>
                <w:sz w:val="20"/>
                <w:szCs w:val="20"/>
              </w:rPr>
              <w:t>Plan Anticorrupción y de Atención al Ciudadano:</w:t>
            </w:r>
            <w:r w:rsidRPr="00081FE7">
              <w:rPr>
                <w:rFonts w:ascii="Cambria" w:hAnsi="Cambria"/>
                <w:sz w:val="20"/>
                <w:szCs w:val="20"/>
              </w:rPr>
              <w:t xml:space="preserve"> Cada entidad del orden nacional, departamental y municipal deberá elaborar anualmente una estrategia de lucha contra la corrupción y de atención al ciudadano. La metodología para construir esta estrategia está a cargo del Programa Presidencial de Modernización, Eficiencia, Transparencia y Lucha contra la Corrupción, — hoy Secretaría de Transparencia—.</w:t>
            </w:r>
          </w:p>
        </w:tc>
      </w:tr>
      <w:tr w:rsidR="004468AC" w:rsidRPr="00081FE7" w:rsidTr="004468AC">
        <w:trPr>
          <w:trHeight w:val="660"/>
        </w:trPr>
        <w:tc>
          <w:tcPr>
            <w:tcW w:w="1554" w:type="dxa"/>
            <w:vMerge/>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2269" w:type="dxa"/>
            <w:vMerge w:val="restart"/>
            <w:shd w:val="clear" w:color="auto" w:fill="auto"/>
            <w:vAlign w:val="center"/>
          </w:tcPr>
          <w:p w:rsidR="004468AC" w:rsidRPr="00081FE7" w:rsidRDefault="004468AC" w:rsidP="00A03FD7">
            <w:pPr>
              <w:spacing w:line="259" w:lineRule="auto"/>
              <w:ind w:left="-107"/>
              <w:jc w:val="center"/>
              <w:rPr>
                <w:rFonts w:ascii="Cambria" w:hAnsi="Cambria"/>
                <w:sz w:val="20"/>
                <w:szCs w:val="20"/>
              </w:rPr>
            </w:pPr>
            <w:r w:rsidRPr="00081FE7">
              <w:rPr>
                <w:rFonts w:ascii="Cambria" w:hAnsi="Cambria"/>
                <w:sz w:val="20"/>
                <w:szCs w:val="20"/>
              </w:rPr>
              <w:t>Decreto 4637 de 2011 Suprime un Programa Presidencial y crea una Secretaría en el DAPRE</w:t>
            </w:r>
          </w:p>
        </w:tc>
        <w:tc>
          <w:tcPr>
            <w:tcW w:w="1134" w:type="dxa"/>
            <w:shd w:val="clear" w:color="auto" w:fill="auto"/>
            <w:vAlign w:val="center"/>
          </w:tcPr>
          <w:p w:rsidR="004468AC" w:rsidRPr="00081FE7" w:rsidRDefault="004468AC" w:rsidP="00A03FD7">
            <w:pPr>
              <w:spacing w:line="259" w:lineRule="auto"/>
              <w:jc w:val="center"/>
              <w:rPr>
                <w:rFonts w:ascii="Cambria" w:hAnsi="Cambria"/>
                <w:sz w:val="20"/>
                <w:szCs w:val="20"/>
              </w:rPr>
            </w:pPr>
            <w:r w:rsidRPr="00081FE7">
              <w:rPr>
                <w:rFonts w:ascii="Cambria" w:hAnsi="Cambria"/>
                <w:sz w:val="20"/>
                <w:szCs w:val="20"/>
              </w:rPr>
              <w:t>Art. 4°</w:t>
            </w:r>
          </w:p>
        </w:tc>
        <w:tc>
          <w:tcPr>
            <w:tcW w:w="5011" w:type="dxa"/>
            <w:shd w:val="clear" w:color="auto" w:fill="auto"/>
            <w:vAlign w:val="center"/>
          </w:tcPr>
          <w:p w:rsidR="004468AC" w:rsidRPr="00081FE7" w:rsidRDefault="004468AC" w:rsidP="00A03FD7">
            <w:pPr>
              <w:spacing w:line="259" w:lineRule="auto"/>
              <w:jc w:val="both"/>
              <w:rPr>
                <w:rFonts w:ascii="Cambria" w:hAnsi="Cambria"/>
                <w:sz w:val="20"/>
                <w:szCs w:val="20"/>
              </w:rPr>
            </w:pPr>
            <w:r w:rsidRPr="00081FE7">
              <w:rPr>
                <w:rFonts w:ascii="Cambria" w:hAnsi="Cambria"/>
                <w:sz w:val="20"/>
                <w:szCs w:val="20"/>
              </w:rPr>
              <w:t>Suprime el Programa Presidencial de Modernización, Eficiencia, Transparencia y Lucha contra la Corrupción.</w:t>
            </w:r>
          </w:p>
        </w:tc>
      </w:tr>
      <w:tr w:rsidR="004468AC" w:rsidRPr="00081FE7" w:rsidTr="004468AC">
        <w:tc>
          <w:tcPr>
            <w:tcW w:w="1554" w:type="dxa"/>
            <w:vMerge/>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2269" w:type="dxa"/>
            <w:vMerge/>
            <w:shd w:val="clear" w:color="auto" w:fill="auto"/>
            <w:vAlign w:val="center"/>
          </w:tcPr>
          <w:p w:rsidR="004468AC" w:rsidRPr="00081FE7" w:rsidRDefault="004468AC" w:rsidP="00A03FD7">
            <w:pPr>
              <w:spacing w:line="259" w:lineRule="auto"/>
              <w:ind w:left="-107"/>
              <w:jc w:val="center"/>
              <w:rPr>
                <w:rFonts w:ascii="Cambria" w:hAnsi="Cambria"/>
                <w:sz w:val="20"/>
                <w:szCs w:val="20"/>
              </w:rPr>
            </w:pPr>
          </w:p>
        </w:tc>
        <w:tc>
          <w:tcPr>
            <w:tcW w:w="1134" w:type="dxa"/>
            <w:shd w:val="clear" w:color="auto" w:fill="auto"/>
            <w:vAlign w:val="center"/>
          </w:tcPr>
          <w:p w:rsidR="004468AC" w:rsidRPr="00081FE7" w:rsidRDefault="004468AC" w:rsidP="00A03FD7">
            <w:pPr>
              <w:spacing w:line="259" w:lineRule="auto"/>
              <w:jc w:val="center"/>
              <w:rPr>
                <w:rFonts w:ascii="Cambria" w:hAnsi="Cambria"/>
                <w:sz w:val="20"/>
                <w:szCs w:val="20"/>
              </w:rPr>
            </w:pPr>
            <w:r w:rsidRPr="00081FE7">
              <w:rPr>
                <w:rFonts w:ascii="Cambria" w:hAnsi="Cambria"/>
                <w:sz w:val="20"/>
                <w:szCs w:val="20"/>
              </w:rPr>
              <w:t>Art. 2°</w:t>
            </w:r>
          </w:p>
        </w:tc>
        <w:tc>
          <w:tcPr>
            <w:tcW w:w="5011" w:type="dxa"/>
            <w:shd w:val="clear" w:color="auto" w:fill="auto"/>
            <w:vAlign w:val="center"/>
          </w:tcPr>
          <w:p w:rsidR="004468AC" w:rsidRPr="00081FE7" w:rsidRDefault="004468AC" w:rsidP="00A03FD7">
            <w:pPr>
              <w:spacing w:line="259" w:lineRule="auto"/>
              <w:jc w:val="both"/>
              <w:rPr>
                <w:rFonts w:ascii="Cambria" w:hAnsi="Cambria"/>
                <w:sz w:val="20"/>
                <w:szCs w:val="20"/>
              </w:rPr>
            </w:pPr>
            <w:r w:rsidRPr="00081FE7">
              <w:rPr>
                <w:rFonts w:ascii="Cambria" w:hAnsi="Cambria"/>
                <w:sz w:val="20"/>
                <w:szCs w:val="20"/>
              </w:rPr>
              <w:t>Crea la Secretaría de Transparencia en el Departamento Administrativo de la Presidencia de la República.</w:t>
            </w:r>
          </w:p>
        </w:tc>
      </w:tr>
      <w:tr w:rsidR="004468AC" w:rsidRPr="00081FE7" w:rsidTr="004468AC">
        <w:trPr>
          <w:trHeight w:val="461"/>
        </w:trPr>
        <w:tc>
          <w:tcPr>
            <w:tcW w:w="1554" w:type="dxa"/>
            <w:vMerge/>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2269" w:type="dxa"/>
            <w:vMerge w:val="restart"/>
            <w:shd w:val="clear" w:color="auto" w:fill="auto"/>
            <w:vAlign w:val="center"/>
          </w:tcPr>
          <w:p w:rsidR="004468AC" w:rsidRPr="00081FE7" w:rsidRDefault="004468AC" w:rsidP="00A03FD7">
            <w:pPr>
              <w:spacing w:line="259" w:lineRule="auto"/>
              <w:ind w:left="-107"/>
              <w:jc w:val="center"/>
              <w:rPr>
                <w:rFonts w:ascii="Cambria" w:hAnsi="Cambria"/>
                <w:sz w:val="20"/>
                <w:szCs w:val="20"/>
              </w:rPr>
            </w:pPr>
            <w:r w:rsidRPr="00081FE7">
              <w:rPr>
                <w:rFonts w:ascii="Cambria" w:hAnsi="Cambria"/>
                <w:sz w:val="20"/>
                <w:szCs w:val="20"/>
              </w:rPr>
              <w:t>Decreto 1649 de 2014 Modificación de la estructura del DAPRE</w:t>
            </w:r>
          </w:p>
        </w:tc>
        <w:tc>
          <w:tcPr>
            <w:tcW w:w="1134" w:type="dxa"/>
            <w:shd w:val="clear" w:color="auto" w:fill="auto"/>
            <w:vAlign w:val="center"/>
          </w:tcPr>
          <w:p w:rsidR="004468AC" w:rsidRPr="00081FE7" w:rsidRDefault="004468AC" w:rsidP="00A03FD7">
            <w:pPr>
              <w:spacing w:line="259" w:lineRule="auto"/>
              <w:jc w:val="center"/>
              <w:rPr>
                <w:rFonts w:ascii="Cambria" w:hAnsi="Cambria"/>
                <w:sz w:val="20"/>
                <w:szCs w:val="20"/>
              </w:rPr>
            </w:pPr>
            <w:r w:rsidRPr="00081FE7">
              <w:rPr>
                <w:rFonts w:ascii="Cambria" w:hAnsi="Cambria"/>
                <w:sz w:val="20"/>
                <w:szCs w:val="20"/>
              </w:rPr>
              <w:t>Art. 55</w:t>
            </w:r>
          </w:p>
        </w:tc>
        <w:tc>
          <w:tcPr>
            <w:tcW w:w="5011" w:type="dxa"/>
            <w:shd w:val="clear" w:color="auto" w:fill="auto"/>
            <w:vAlign w:val="center"/>
          </w:tcPr>
          <w:p w:rsidR="004468AC" w:rsidRPr="00081FE7" w:rsidRDefault="004468AC" w:rsidP="00A03FD7">
            <w:pPr>
              <w:spacing w:line="259" w:lineRule="auto"/>
              <w:jc w:val="both"/>
              <w:rPr>
                <w:rFonts w:ascii="Cambria" w:hAnsi="Cambria"/>
                <w:sz w:val="20"/>
                <w:szCs w:val="20"/>
              </w:rPr>
            </w:pPr>
            <w:r w:rsidRPr="00081FE7">
              <w:rPr>
                <w:rFonts w:ascii="Cambria" w:hAnsi="Cambria"/>
                <w:sz w:val="20"/>
                <w:szCs w:val="20"/>
              </w:rPr>
              <w:t>Deroga el Decreto 4637 de 2011.</w:t>
            </w:r>
          </w:p>
        </w:tc>
      </w:tr>
      <w:tr w:rsidR="004468AC" w:rsidRPr="00081FE7" w:rsidTr="004468AC">
        <w:tc>
          <w:tcPr>
            <w:tcW w:w="1554" w:type="dxa"/>
            <w:vMerge/>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2269" w:type="dxa"/>
            <w:vMerge/>
            <w:shd w:val="clear" w:color="auto" w:fill="auto"/>
            <w:vAlign w:val="center"/>
          </w:tcPr>
          <w:p w:rsidR="004468AC" w:rsidRPr="00081FE7" w:rsidRDefault="004468AC" w:rsidP="00A03FD7">
            <w:pPr>
              <w:spacing w:line="259" w:lineRule="auto"/>
              <w:ind w:left="-107"/>
              <w:jc w:val="center"/>
              <w:rPr>
                <w:rFonts w:ascii="Cambria" w:hAnsi="Cambria"/>
                <w:sz w:val="20"/>
                <w:szCs w:val="20"/>
              </w:rPr>
            </w:pPr>
          </w:p>
        </w:tc>
        <w:tc>
          <w:tcPr>
            <w:tcW w:w="1134" w:type="dxa"/>
            <w:shd w:val="clear" w:color="auto" w:fill="auto"/>
            <w:vAlign w:val="center"/>
          </w:tcPr>
          <w:p w:rsidR="004468AC" w:rsidRPr="00081FE7" w:rsidRDefault="004468AC" w:rsidP="00A03FD7">
            <w:pPr>
              <w:spacing w:line="259" w:lineRule="auto"/>
              <w:jc w:val="center"/>
              <w:rPr>
                <w:rFonts w:ascii="Cambria" w:hAnsi="Cambria"/>
                <w:sz w:val="20"/>
                <w:szCs w:val="20"/>
              </w:rPr>
            </w:pPr>
            <w:r w:rsidRPr="00081FE7">
              <w:rPr>
                <w:rFonts w:ascii="Cambria" w:hAnsi="Cambria"/>
                <w:sz w:val="20"/>
                <w:szCs w:val="20"/>
              </w:rPr>
              <w:t>Art .15</w:t>
            </w:r>
          </w:p>
        </w:tc>
        <w:tc>
          <w:tcPr>
            <w:tcW w:w="5011" w:type="dxa"/>
            <w:shd w:val="clear" w:color="auto" w:fill="auto"/>
            <w:vAlign w:val="center"/>
          </w:tcPr>
          <w:p w:rsidR="004468AC" w:rsidRPr="00081FE7" w:rsidRDefault="004468AC" w:rsidP="00A03FD7">
            <w:pPr>
              <w:spacing w:line="259" w:lineRule="auto"/>
              <w:jc w:val="both"/>
              <w:rPr>
                <w:rFonts w:ascii="Cambria" w:hAnsi="Cambria"/>
                <w:sz w:val="20"/>
                <w:szCs w:val="20"/>
              </w:rPr>
            </w:pPr>
            <w:r w:rsidRPr="00081FE7">
              <w:rPr>
                <w:rFonts w:ascii="Cambria" w:hAnsi="Cambria"/>
                <w:b/>
                <w:sz w:val="20"/>
                <w:szCs w:val="20"/>
              </w:rPr>
              <w:t xml:space="preserve">Funciones de la Secretaría de Transparencia: </w:t>
            </w:r>
            <w:r w:rsidRPr="00081FE7">
              <w:rPr>
                <w:rFonts w:ascii="Cambria" w:hAnsi="Cambria"/>
                <w:sz w:val="20"/>
                <w:szCs w:val="20"/>
              </w:rPr>
              <w:t>13) Señalar la metodología para diseñar y hacer seguimiento a las estrategias de lucha contra la corrupción y de atención al ciudadano que deberán elaborar anualmente las entidades del orden nacional y territorial.</w:t>
            </w:r>
          </w:p>
        </w:tc>
      </w:tr>
      <w:tr w:rsidR="004468AC" w:rsidRPr="00081FE7" w:rsidTr="004468AC">
        <w:tc>
          <w:tcPr>
            <w:tcW w:w="1554" w:type="dxa"/>
            <w:vMerge/>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2269" w:type="dxa"/>
            <w:shd w:val="clear" w:color="auto" w:fill="auto"/>
            <w:vAlign w:val="center"/>
          </w:tcPr>
          <w:p w:rsidR="004468AC" w:rsidRPr="00081FE7" w:rsidRDefault="004468AC" w:rsidP="00A03FD7">
            <w:pPr>
              <w:spacing w:line="259" w:lineRule="auto"/>
              <w:ind w:left="-107"/>
              <w:jc w:val="center"/>
              <w:rPr>
                <w:rFonts w:ascii="Cambria" w:hAnsi="Cambria"/>
                <w:sz w:val="20"/>
                <w:szCs w:val="20"/>
              </w:rPr>
            </w:pPr>
            <w:r w:rsidRPr="00081FE7">
              <w:rPr>
                <w:rFonts w:ascii="Cambria" w:hAnsi="Cambria"/>
                <w:sz w:val="20"/>
                <w:szCs w:val="20"/>
              </w:rPr>
              <w:t>Decreto 1081 de 2015 Único del Sector de</w:t>
            </w:r>
          </w:p>
          <w:p w:rsidR="004468AC" w:rsidRPr="00081FE7" w:rsidRDefault="004468AC" w:rsidP="00A03FD7">
            <w:pPr>
              <w:spacing w:line="259" w:lineRule="auto"/>
              <w:ind w:left="-107"/>
              <w:jc w:val="center"/>
              <w:rPr>
                <w:rFonts w:ascii="Cambria" w:hAnsi="Cambria"/>
                <w:sz w:val="20"/>
                <w:szCs w:val="20"/>
              </w:rPr>
            </w:pPr>
            <w:r w:rsidRPr="00081FE7">
              <w:rPr>
                <w:rFonts w:ascii="Cambria" w:hAnsi="Cambria"/>
                <w:sz w:val="20"/>
                <w:szCs w:val="20"/>
              </w:rPr>
              <w:t>Presidencia de la</w:t>
            </w:r>
          </w:p>
          <w:p w:rsidR="004468AC" w:rsidRPr="00081FE7" w:rsidRDefault="004468AC" w:rsidP="00A03FD7">
            <w:pPr>
              <w:spacing w:line="259" w:lineRule="auto"/>
              <w:ind w:left="-107"/>
              <w:jc w:val="center"/>
              <w:rPr>
                <w:rFonts w:ascii="Cambria" w:hAnsi="Cambria"/>
                <w:sz w:val="20"/>
                <w:szCs w:val="20"/>
              </w:rPr>
            </w:pPr>
            <w:r w:rsidRPr="00081FE7">
              <w:rPr>
                <w:rFonts w:ascii="Cambria" w:hAnsi="Cambria"/>
                <w:sz w:val="20"/>
                <w:szCs w:val="20"/>
              </w:rPr>
              <w:t>República</w:t>
            </w:r>
          </w:p>
        </w:tc>
        <w:tc>
          <w:tcPr>
            <w:tcW w:w="1134" w:type="dxa"/>
            <w:shd w:val="clear" w:color="auto" w:fill="auto"/>
            <w:vAlign w:val="center"/>
          </w:tcPr>
          <w:p w:rsidR="004468AC" w:rsidRPr="00081FE7" w:rsidRDefault="004468AC" w:rsidP="00A03FD7">
            <w:pPr>
              <w:spacing w:line="259" w:lineRule="auto"/>
              <w:jc w:val="center"/>
              <w:rPr>
                <w:rFonts w:ascii="Cambria" w:hAnsi="Cambria"/>
                <w:sz w:val="20"/>
                <w:szCs w:val="20"/>
              </w:rPr>
            </w:pPr>
            <w:r w:rsidRPr="00081FE7">
              <w:rPr>
                <w:rFonts w:ascii="Cambria" w:hAnsi="Cambria"/>
                <w:sz w:val="20"/>
                <w:szCs w:val="20"/>
              </w:rPr>
              <w:t>Artículos .2.1.4.1</w:t>
            </w:r>
          </w:p>
          <w:p w:rsidR="004468AC" w:rsidRPr="00081FE7" w:rsidRDefault="004468AC" w:rsidP="00A03FD7">
            <w:pPr>
              <w:spacing w:line="259" w:lineRule="auto"/>
              <w:jc w:val="center"/>
              <w:rPr>
                <w:rFonts w:ascii="Cambria" w:hAnsi="Cambria"/>
                <w:sz w:val="20"/>
                <w:szCs w:val="20"/>
              </w:rPr>
            </w:pPr>
            <w:r w:rsidRPr="00081FE7">
              <w:rPr>
                <w:rFonts w:ascii="Cambria" w:hAnsi="Cambria"/>
                <w:sz w:val="20"/>
                <w:szCs w:val="20"/>
              </w:rPr>
              <w:t>y siguientes</w:t>
            </w:r>
          </w:p>
        </w:tc>
        <w:tc>
          <w:tcPr>
            <w:tcW w:w="5011" w:type="dxa"/>
            <w:shd w:val="clear" w:color="auto" w:fill="auto"/>
            <w:vAlign w:val="center"/>
          </w:tcPr>
          <w:p w:rsidR="004468AC" w:rsidRPr="00081FE7" w:rsidRDefault="004468AC" w:rsidP="00A03FD7">
            <w:pPr>
              <w:spacing w:line="259" w:lineRule="auto"/>
              <w:jc w:val="both"/>
              <w:rPr>
                <w:rFonts w:ascii="Cambria" w:hAnsi="Cambria"/>
                <w:sz w:val="20"/>
                <w:szCs w:val="20"/>
              </w:rPr>
            </w:pPr>
            <w:r w:rsidRPr="00081FE7">
              <w:rPr>
                <w:rFonts w:ascii="Cambria" w:hAnsi="Cambria"/>
                <w:sz w:val="20"/>
                <w:szCs w:val="20"/>
              </w:rPr>
              <w:t>Señala como metodología para elaborar la estrategia de lucha contra la corrupción la contenida en el documento “Estrategias para la construcción del Plan Anticorrupción y de Atención al Ciudadano”.</w:t>
            </w:r>
          </w:p>
        </w:tc>
      </w:tr>
      <w:tr w:rsidR="004468AC" w:rsidRPr="00081FE7" w:rsidTr="004468AC">
        <w:tc>
          <w:tcPr>
            <w:tcW w:w="1554" w:type="dxa"/>
            <w:vMerge/>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2269" w:type="dxa"/>
            <w:shd w:val="clear" w:color="auto" w:fill="auto"/>
            <w:vAlign w:val="center"/>
          </w:tcPr>
          <w:p w:rsidR="004468AC" w:rsidRPr="00081FE7" w:rsidRDefault="004468AC" w:rsidP="00A03FD7">
            <w:pPr>
              <w:spacing w:line="259" w:lineRule="auto"/>
              <w:ind w:left="-107"/>
              <w:jc w:val="center"/>
              <w:rPr>
                <w:rFonts w:ascii="Cambria" w:hAnsi="Cambria"/>
                <w:sz w:val="20"/>
                <w:szCs w:val="20"/>
              </w:rPr>
            </w:pPr>
            <w:r>
              <w:rPr>
                <w:rFonts w:ascii="Cambria" w:hAnsi="Cambria"/>
                <w:sz w:val="20"/>
                <w:szCs w:val="20"/>
              </w:rPr>
              <w:t>Decreto 612 de 2018</w:t>
            </w:r>
          </w:p>
        </w:tc>
        <w:tc>
          <w:tcPr>
            <w:tcW w:w="1134" w:type="dxa"/>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5011" w:type="dxa"/>
            <w:shd w:val="clear" w:color="auto" w:fill="auto"/>
            <w:vAlign w:val="center"/>
          </w:tcPr>
          <w:p w:rsidR="004468AC" w:rsidRPr="00081FE7" w:rsidRDefault="004468AC" w:rsidP="00A03FD7">
            <w:pPr>
              <w:spacing w:line="259" w:lineRule="auto"/>
              <w:jc w:val="both"/>
              <w:rPr>
                <w:rFonts w:ascii="Cambria" w:hAnsi="Cambria"/>
                <w:sz w:val="20"/>
                <w:szCs w:val="20"/>
              </w:rPr>
            </w:pPr>
            <w:r w:rsidRPr="00A03FD7">
              <w:rPr>
                <w:rFonts w:ascii="Cambria" w:hAnsi="Cambria"/>
                <w:sz w:val="20"/>
                <w:szCs w:val="20"/>
              </w:rPr>
              <w:t>Por el cual se fijan directrices para la integración de los planes institucionales y estratégicos al Plan de Acción por parte de las entidades del Estado</w:t>
            </w:r>
            <w:r>
              <w:rPr>
                <w:rFonts w:ascii="Cambria" w:hAnsi="Cambria"/>
                <w:sz w:val="20"/>
                <w:szCs w:val="20"/>
              </w:rPr>
              <w:t>.</w:t>
            </w:r>
          </w:p>
        </w:tc>
      </w:tr>
      <w:tr w:rsidR="0094604A" w:rsidRPr="00081FE7" w:rsidTr="004468AC">
        <w:tc>
          <w:tcPr>
            <w:tcW w:w="1554" w:type="dxa"/>
            <w:vMerge w:val="restart"/>
            <w:shd w:val="clear" w:color="auto" w:fill="auto"/>
            <w:vAlign w:val="center"/>
          </w:tcPr>
          <w:p w:rsidR="0094604A" w:rsidRPr="00081FE7" w:rsidRDefault="0094604A" w:rsidP="00A03FD7">
            <w:pPr>
              <w:spacing w:line="259" w:lineRule="auto"/>
              <w:jc w:val="center"/>
              <w:rPr>
                <w:rFonts w:ascii="Cambria" w:hAnsi="Cambria"/>
                <w:sz w:val="20"/>
                <w:szCs w:val="20"/>
              </w:rPr>
            </w:pPr>
            <w:r w:rsidRPr="00081FE7">
              <w:rPr>
                <w:rFonts w:ascii="Cambria" w:hAnsi="Cambria"/>
                <w:sz w:val="20"/>
                <w:szCs w:val="20"/>
              </w:rPr>
              <w:t>Modelo Integrado de Planeación y</w:t>
            </w:r>
          </w:p>
          <w:p w:rsidR="0094604A" w:rsidRPr="00081FE7" w:rsidRDefault="0094604A" w:rsidP="00A03FD7">
            <w:pPr>
              <w:spacing w:line="259" w:lineRule="auto"/>
              <w:jc w:val="center"/>
              <w:rPr>
                <w:rFonts w:ascii="Cambria" w:hAnsi="Cambria"/>
                <w:sz w:val="20"/>
                <w:szCs w:val="20"/>
              </w:rPr>
            </w:pPr>
            <w:r w:rsidRPr="00081FE7">
              <w:rPr>
                <w:rFonts w:ascii="Cambria" w:hAnsi="Cambria"/>
                <w:sz w:val="20"/>
                <w:szCs w:val="20"/>
              </w:rPr>
              <w:t>Gestión</w:t>
            </w:r>
          </w:p>
        </w:tc>
        <w:tc>
          <w:tcPr>
            <w:tcW w:w="2269" w:type="dxa"/>
            <w:shd w:val="clear" w:color="auto" w:fill="auto"/>
            <w:vAlign w:val="center"/>
          </w:tcPr>
          <w:p w:rsidR="0094604A" w:rsidRDefault="0094604A" w:rsidP="00A03FD7">
            <w:pPr>
              <w:spacing w:line="259" w:lineRule="auto"/>
              <w:ind w:left="-107"/>
              <w:jc w:val="center"/>
              <w:rPr>
                <w:rFonts w:ascii="Cambria" w:hAnsi="Cambria"/>
                <w:sz w:val="20"/>
                <w:szCs w:val="20"/>
              </w:rPr>
            </w:pPr>
            <w:r>
              <w:rPr>
                <w:rFonts w:ascii="Cambria" w:hAnsi="Cambria"/>
                <w:sz w:val="20"/>
                <w:szCs w:val="20"/>
              </w:rPr>
              <w:t>Ley 1753 de 2015</w:t>
            </w:r>
          </w:p>
        </w:tc>
        <w:tc>
          <w:tcPr>
            <w:tcW w:w="1134" w:type="dxa"/>
            <w:shd w:val="clear" w:color="auto" w:fill="auto"/>
            <w:vAlign w:val="center"/>
          </w:tcPr>
          <w:p w:rsidR="0094604A" w:rsidRPr="00081FE7" w:rsidRDefault="0094604A" w:rsidP="00A03FD7">
            <w:pPr>
              <w:spacing w:line="259" w:lineRule="auto"/>
              <w:jc w:val="center"/>
              <w:rPr>
                <w:rFonts w:ascii="Cambria" w:hAnsi="Cambria"/>
                <w:sz w:val="20"/>
                <w:szCs w:val="20"/>
              </w:rPr>
            </w:pPr>
          </w:p>
        </w:tc>
        <w:tc>
          <w:tcPr>
            <w:tcW w:w="5011" w:type="dxa"/>
            <w:shd w:val="clear" w:color="auto" w:fill="auto"/>
            <w:vAlign w:val="center"/>
          </w:tcPr>
          <w:p w:rsidR="0094604A" w:rsidRPr="00A03FD7" w:rsidRDefault="0094604A" w:rsidP="00A03FD7">
            <w:pPr>
              <w:spacing w:line="259" w:lineRule="auto"/>
              <w:jc w:val="both"/>
              <w:rPr>
                <w:rFonts w:ascii="Cambria" w:hAnsi="Cambria"/>
                <w:sz w:val="20"/>
                <w:szCs w:val="20"/>
              </w:rPr>
            </w:pPr>
            <w:r>
              <w:rPr>
                <w:rFonts w:ascii="Cambria" w:hAnsi="Cambria"/>
                <w:sz w:val="20"/>
                <w:szCs w:val="20"/>
              </w:rPr>
              <w:t>I</w:t>
            </w:r>
            <w:r w:rsidRPr="0094604A">
              <w:rPr>
                <w:rFonts w:ascii="Cambria" w:hAnsi="Cambria"/>
                <w:sz w:val="20"/>
                <w:szCs w:val="20"/>
              </w:rPr>
              <w:t>ntegró en un solo Sistema de Gestión los Sistemas de Desarrollo Administrativo y de Gestión de la Calidad.</w:t>
            </w:r>
          </w:p>
        </w:tc>
      </w:tr>
      <w:tr w:rsidR="0094604A" w:rsidRPr="00081FE7" w:rsidTr="004468AC">
        <w:tc>
          <w:tcPr>
            <w:tcW w:w="1554" w:type="dxa"/>
            <w:vMerge/>
            <w:shd w:val="clear" w:color="auto" w:fill="auto"/>
            <w:vAlign w:val="center"/>
          </w:tcPr>
          <w:p w:rsidR="0094604A" w:rsidRPr="00081FE7" w:rsidRDefault="0094604A" w:rsidP="00A03FD7">
            <w:pPr>
              <w:spacing w:line="259" w:lineRule="auto"/>
              <w:jc w:val="center"/>
              <w:rPr>
                <w:rFonts w:ascii="Cambria" w:hAnsi="Cambria"/>
                <w:sz w:val="20"/>
                <w:szCs w:val="20"/>
              </w:rPr>
            </w:pPr>
          </w:p>
        </w:tc>
        <w:tc>
          <w:tcPr>
            <w:tcW w:w="2269" w:type="dxa"/>
            <w:shd w:val="clear" w:color="auto" w:fill="auto"/>
            <w:vAlign w:val="center"/>
          </w:tcPr>
          <w:p w:rsidR="0094604A" w:rsidRPr="00081FE7" w:rsidRDefault="0094604A" w:rsidP="00A03FD7">
            <w:pPr>
              <w:spacing w:line="259" w:lineRule="auto"/>
              <w:ind w:left="-107"/>
              <w:jc w:val="center"/>
              <w:rPr>
                <w:rFonts w:ascii="Cambria" w:hAnsi="Cambria"/>
                <w:sz w:val="20"/>
                <w:szCs w:val="20"/>
              </w:rPr>
            </w:pPr>
            <w:r w:rsidRPr="00081FE7">
              <w:rPr>
                <w:rFonts w:ascii="Cambria" w:hAnsi="Cambria"/>
                <w:sz w:val="20"/>
                <w:szCs w:val="20"/>
              </w:rPr>
              <w:t>Decreto 1499 de 2017</w:t>
            </w:r>
          </w:p>
          <w:p w:rsidR="0094604A" w:rsidRPr="00081FE7" w:rsidRDefault="0094604A" w:rsidP="00A03FD7">
            <w:pPr>
              <w:spacing w:line="259" w:lineRule="auto"/>
              <w:ind w:left="-107"/>
              <w:jc w:val="center"/>
              <w:rPr>
                <w:rFonts w:ascii="Cambria" w:hAnsi="Cambria"/>
                <w:sz w:val="20"/>
                <w:szCs w:val="20"/>
              </w:rPr>
            </w:pPr>
          </w:p>
          <w:p w:rsidR="0094604A" w:rsidRPr="00081FE7" w:rsidRDefault="0094604A" w:rsidP="00A03FD7">
            <w:pPr>
              <w:spacing w:line="259" w:lineRule="auto"/>
              <w:ind w:left="-107"/>
              <w:jc w:val="center"/>
              <w:rPr>
                <w:rFonts w:ascii="Cambria" w:hAnsi="Cambria"/>
                <w:sz w:val="20"/>
                <w:szCs w:val="20"/>
              </w:rPr>
            </w:pPr>
            <w:r w:rsidRPr="00081FE7">
              <w:rPr>
                <w:rFonts w:ascii="Cambria" w:hAnsi="Cambria"/>
                <w:sz w:val="20"/>
                <w:szCs w:val="20"/>
              </w:rPr>
              <w:t>Manual Operativo MIPG</w:t>
            </w:r>
          </w:p>
        </w:tc>
        <w:tc>
          <w:tcPr>
            <w:tcW w:w="1134" w:type="dxa"/>
            <w:shd w:val="clear" w:color="auto" w:fill="auto"/>
            <w:vAlign w:val="center"/>
          </w:tcPr>
          <w:p w:rsidR="0094604A" w:rsidRPr="00081FE7" w:rsidRDefault="0094604A" w:rsidP="00A03FD7">
            <w:pPr>
              <w:spacing w:line="259" w:lineRule="auto"/>
              <w:jc w:val="center"/>
              <w:rPr>
                <w:rFonts w:ascii="Cambria" w:hAnsi="Cambria"/>
                <w:sz w:val="20"/>
                <w:szCs w:val="20"/>
              </w:rPr>
            </w:pPr>
          </w:p>
          <w:p w:rsidR="0094604A" w:rsidRPr="00081FE7" w:rsidRDefault="0094604A" w:rsidP="00A03FD7">
            <w:pPr>
              <w:spacing w:line="259" w:lineRule="auto"/>
              <w:jc w:val="center"/>
              <w:rPr>
                <w:rFonts w:ascii="Cambria" w:hAnsi="Cambria"/>
                <w:sz w:val="20"/>
                <w:szCs w:val="20"/>
              </w:rPr>
            </w:pPr>
          </w:p>
          <w:p w:rsidR="0094604A" w:rsidRPr="00081FE7" w:rsidRDefault="0094604A" w:rsidP="00A03FD7">
            <w:pPr>
              <w:spacing w:line="259" w:lineRule="auto"/>
              <w:jc w:val="center"/>
              <w:rPr>
                <w:rFonts w:ascii="Cambria" w:hAnsi="Cambria"/>
                <w:sz w:val="20"/>
                <w:szCs w:val="20"/>
              </w:rPr>
            </w:pPr>
            <w:r w:rsidRPr="00081FE7">
              <w:rPr>
                <w:rFonts w:ascii="Cambria" w:hAnsi="Cambria"/>
                <w:sz w:val="20"/>
                <w:szCs w:val="20"/>
              </w:rPr>
              <w:t>Numeral 2.2.1</w:t>
            </w:r>
          </w:p>
        </w:tc>
        <w:tc>
          <w:tcPr>
            <w:tcW w:w="5011" w:type="dxa"/>
            <w:shd w:val="clear" w:color="auto" w:fill="auto"/>
            <w:vAlign w:val="center"/>
          </w:tcPr>
          <w:p w:rsidR="0094604A" w:rsidRPr="00081FE7" w:rsidRDefault="0094604A" w:rsidP="00A03FD7">
            <w:pPr>
              <w:spacing w:line="259" w:lineRule="auto"/>
              <w:jc w:val="both"/>
              <w:rPr>
                <w:rFonts w:ascii="Cambria" w:hAnsi="Cambria"/>
                <w:sz w:val="20"/>
                <w:szCs w:val="20"/>
              </w:rPr>
            </w:pPr>
            <w:r w:rsidRPr="00081FE7">
              <w:rPr>
                <w:rFonts w:ascii="Cambria" w:hAnsi="Cambria"/>
                <w:sz w:val="20"/>
                <w:szCs w:val="20"/>
              </w:rPr>
              <w:t>El Plan Anticorrupción y de Atención al Ciudadano –PAAC contiene la estrategia de lucha contra la corrupción y de atención al ciudadano que debe ser implementada en las entidades del orden nacional, departamental y municipal, en cumplimiento de lo establecido en el artículo 73 de la Ley 1474 de 2011.</w:t>
            </w:r>
          </w:p>
          <w:p w:rsidR="0094604A" w:rsidRPr="00081FE7" w:rsidRDefault="0094604A" w:rsidP="00A03FD7">
            <w:pPr>
              <w:spacing w:line="259" w:lineRule="auto"/>
              <w:jc w:val="both"/>
              <w:rPr>
                <w:rFonts w:ascii="Cambria" w:hAnsi="Cambria"/>
                <w:sz w:val="20"/>
                <w:szCs w:val="20"/>
                <w:highlight w:val="yellow"/>
              </w:rPr>
            </w:pPr>
            <w:r w:rsidRPr="00081FE7">
              <w:rPr>
                <w:rFonts w:ascii="Cambria" w:hAnsi="Cambria"/>
                <w:b/>
                <w:sz w:val="20"/>
                <w:szCs w:val="20"/>
              </w:rPr>
              <w:t>Dimensión:</w:t>
            </w:r>
            <w:r w:rsidRPr="00081FE7">
              <w:rPr>
                <w:rFonts w:ascii="Cambria" w:hAnsi="Cambria"/>
                <w:sz w:val="20"/>
                <w:szCs w:val="20"/>
              </w:rPr>
              <w:t xml:space="preserve"> a.) </w:t>
            </w:r>
            <w:r w:rsidRPr="00081FE7">
              <w:rPr>
                <w:rFonts w:ascii="Cambria" w:hAnsi="Cambria"/>
                <w:b/>
                <w:sz w:val="20"/>
                <w:szCs w:val="20"/>
              </w:rPr>
              <w:t>Control Interno.</w:t>
            </w:r>
            <w:r w:rsidRPr="00081FE7">
              <w:rPr>
                <w:rFonts w:ascii="Cambria" w:hAnsi="Cambria"/>
                <w:sz w:val="20"/>
                <w:szCs w:val="20"/>
              </w:rPr>
              <w:t xml:space="preserve"> Gestión del Riesgo de Corrupción (Mapa de Riesgos de Corrupción y medidas para su mitigación); b.) </w:t>
            </w:r>
            <w:r w:rsidRPr="00081FE7">
              <w:rPr>
                <w:rFonts w:ascii="Cambria" w:hAnsi="Cambria"/>
                <w:b/>
                <w:sz w:val="20"/>
                <w:szCs w:val="20"/>
              </w:rPr>
              <w:t xml:space="preserve">Gestión con Valores para Resultados (Relación Estado - Ciudadano). </w:t>
            </w:r>
            <w:r w:rsidRPr="00081FE7">
              <w:rPr>
                <w:rFonts w:ascii="Cambria" w:hAnsi="Cambria"/>
                <w:sz w:val="20"/>
                <w:szCs w:val="20"/>
              </w:rPr>
              <w:t xml:space="preserve"> </w:t>
            </w:r>
            <w:r w:rsidRPr="00081FE7">
              <w:rPr>
                <w:rFonts w:ascii="Cambria" w:hAnsi="Cambria"/>
                <w:sz w:val="20"/>
                <w:szCs w:val="20"/>
              </w:rPr>
              <w:lastRenderedPageBreak/>
              <w:t xml:space="preserve">Racionalización de trámites, Mecanismos para mejorar la atención al ciudadano, Rendición de cuentas; y c.) </w:t>
            </w:r>
            <w:r w:rsidRPr="00081FE7">
              <w:rPr>
                <w:rFonts w:ascii="Cambria" w:hAnsi="Cambria"/>
                <w:b/>
                <w:sz w:val="20"/>
                <w:szCs w:val="20"/>
              </w:rPr>
              <w:t>Información y Comunicación.</w:t>
            </w:r>
            <w:r w:rsidRPr="00081FE7">
              <w:rPr>
                <w:rFonts w:ascii="Cambria" w:hAnsi="Cambria"/>
                <w:sz w:val="20"/>
                <w:szCs w:val="20"/>
              </w:rPr>
              <w:t xml:space="preserve"> Mecanismos para la transparencia y acceso a la información.</w:t>
            </w:r>
          </w:p>
        </w:tc>
      </w:tr>
      <w:tr w:rsidR="00035C10" w:rsidRPr="00081FE7" w:rsidTr="004468AC">
        <w:tc>
          <w:tcPr>
            <w:tcW w:w="1554" w:type="dxa"/>
            <w:vMerge w:val="restart"/>
            <w:shd w:val="clear" w:color="auto" w:fill="auto"/>
            <w:vAlign w:val="center"/>
          </w:tcPr>
          <w:p w:rsidR="00035C10" w:rsidRPr="00081FE7" w:rsidRDefault="00035C10" w:rsidP="00A03FD7">
            <w:pPr>
              <w:spacing w:line="259" w:lineRule="auto"/>
              <w:jc w:val="center"/>
              <w:rPr>
                <w:rFonts w:ascii="Cambria" w:hAnsi="Cambria"/>
                <w:sz w:val="20"/>
                <w:szCs w:val="20"/>
              </w:rPr>
            </w:pPr>
            <w:r w:rsidRPr="00081FE7">
              <w:rPr>
                <w:rFonts w:ascii="Cambria" w:hAnsi="Cambria"/>
                <w:sz w:val="20"/>
                <w:szCs w:val="20"/>
              </w:rPr>
              <w:lastRenderedPageBreak/>
              <w:t>Trámites</w:t>
            </w:r>
          </w:p>
        </w:tc>
        <w:tc>
          <w:tcPr>
            <w:tcW w:w="2269" w:type="dxa"/>
            <w:shd w:val="clear" w:color="auto" w:fill="auto"/>
            <w:vAlign w:val="center"/>
          </w:tcPr>
          <w:p w:rsidR="00035C10" w:rsidRPr="00081FE7" w:rsidRDefault="00035C10" w:rsidP="00A03FD7">
            <w:pPr>
              <w:spacing w:line="259" w:lineRule="auto"/>
              <w:ind w:left="-107"/>
              <w:jc w:val="center"/>
              <w:rPr>
                <w:rFonts w:ascii="Cambria" w:hAnsi="Cambria"/>
                <w:sz w:val="20"/>
                <w:szCs w:val="20"/>
              </w:rPr>
            </w:pPr>
            <w:r w:rsidRPr="00081FE7">
              <w:rPr>
                <w:rFonts w:ascii="Cambria" w:hAnsi="Cambria"/>
                <w:sz w:val="20"/>
                <w:szCs w:val="20"/>
              </w:rPr>
              <w:t>Decreto 1083 de 2015 Único Función Pública</w:t>
            </w:r>
          </w:p>
        </w:tc>
        <w:tc>
          <w:tcPr>
            <w:tcW w:w="1134" w:type="dxa"/>
            <w:shd w:val="clear" w:color="auto" w:fill="auto"/>
            <w:vAlign w:val="center"/>
          </w:tcPr>
          <w:p w:rsidR="00035C10" w:rsidRPr="00081FE7" w:rsidRDefault="00035C10" w:rsidP="00A03FD7">
            <w:pPr>
              <w:spacing w:line="259" w:lineRule="auto"/>
              <w:jc w:val="center"/>
              <w:rPr>
                <w:rFonts w:ascii="Cambria" w:hAnsi="Cambria"/>
                <w:sz w:val="20"/>
                <w:szCs w:val="20"/>
              </w:rPr>
            </w:pPr>
            <w:r w:rsidRPr="00081FE7">
              <w:rPr>
                <w:rFonts w:ascii="Cambria" w:hAnsi="Cambria"/>
                <w:sz w:val="20"/>
                <w:szCs w:val="20"/>
              </w:rPr>
              <w:t>Título 24</w:t>
            </w:r>
          </w:p>
        </w:tc>
        <w:tc>
          <w:tcPr>
            <w:tcW w:w="5011" w:type="dxa"/>
            <w:shd w:val="clear" w:color="auto" w:fill="auto"/>
            <w:vAlign w:val="center"/>
          </w:tcPr>
          <w:p w:rsidR="00035C10" w:rsidRPr="00081FE7" w:rsidRDefault="00035C10" w:rsidP="00A03FD7">
            <w:pPr>
              <w:spacing w:line="259" w:lineRule="auto"/>
              <w:jc w:val="both"/>
              <w:rPr>
                <w:rFonts w:ascii="Cambria" w:hAnsi="Cambria"/>
                <w:sz w:val="20"/>
                <w:szCs w:val="20"/>
              </w:rPr>
            </w:pPr>
            <w:r w:rsidRPr="00081FE7">
              <w:rPr>
                <w:rFonts w:ascii="Cambria" w:hAnsi="Cambria"/>
                <w:sz w:val="20"/>
                <w:szCs w:val="20"/>
              </w:rPr>
              <w:t>Regula el procedimiento para establecer y modificar los trámites autorizados por la ley y crear las instancias para los mismos efectos.</w:t>
            </w:r>
          </w:p>
        </w:tc>
      </w:tr>
      <w:tr w:rsidR="00035C10" w:rsidRPr="00081FE7" w:rsidTr="004468AC">
        <w:tc>
          <w:tcPr>
            <w:tcW w:w="1554" w:type="dxa"/>
            <w:vMerge/>
            <w:shd w:val="clear" w:color="auto" w:fill="auto"/>
            <w:vAlign w:val="center"/>
          </w:tcPr>
          <w:p w:rsidR="00035C10" w:rsidRPr="00081FE7" w:rsidRDefault="00035C10" w:rsidP="00A03FD7">
            <w:pPr>
              <w:spacing w:line="259" w:lineRule="auto"/>
              <w:jc w:val="center"/>
              <w:rPr>
                <w:rFonts w:ascii="Cambria" w:hAnsi="Cambria"/>
                <w:sz w:val="20"/>
                <w:szCs w:val="20"/>
              </w:rPr>
            </w:pPr>
          </w:p>
        </w:tc>
        <w:tc>
          <w:tcPr>
            <w:tcW w:w="2269" w:type="dxa"/>
            <w:shd w:val="clear" w:color="auto" w:fill="auto"/>
            <w:vAlign w:val="center"/>
          </w:tcPr>
          <w:p w:rsidR="00035C10" w:rsidRPr="00081FE7" w:rsidRDefault="00035C10" w:rsidP="00A03FD7">
            <w:pPr>
              <w:spacing w:line="259" w:lineRule="auto"/>
              <w:ind w:left="-107"/>
              <w:jc w:val="center"/>
              <w:rPr>
                <w:rFonts w:ascii="Cambria" w:hAnsi="Cambria"/>
                <w:sz w:val="20"/>
                <w:szCs w:val="20"/>
              </w:rPr>
            </w:pPr>
            <w:r w:rsidRPr="00081FE7">
              <w:rPr>
                <w:rFonts w:ascii="Cambria" w:hAnsi="Cambria"/>
                <w:sz w:val="20"/>
                <w:szCs w:val="20"/>
              </w:rPr>
              <w:t>Decreto Ley 019 de 2012</w:t>
            </w:r>
          </w:p>
          <w:p w:rsidR="00035C10" w:rsidRPr="00081FE7" w:rsidRDefault="00035C10" w:rsidP="00A03FD7">
            <w:pPr>
              <w:spacing w:line="259" w:lineRule="auto"/>
              <w:ind w:left="-107"/>
              <w:jc w:val="center"/>
              <w:rPr>
                <w:rFonts w:ascii="Cambria" w:hAnsi="Cambria"/>
                <w:sz w:val="20"/>
                <w:szCs w:val="20"/>
              </w:rPr>
            </w:pPr>
            <w:r w:rsidRPr="00081FE7">
              <w:rPr>
                <w:rFonts w:ascii="Cambria" w:hAnsi="Cambria"/>
                <w:sz w:val="20"/>
                <w:szCs w:val="20"/>
              </w:rPr>
              <w:t xml:space="preserve">Decreto </w:t>
            </w:r>
            <w:proofErr w:type="spellStart"/>
            <w:r w:rsidRPr="00081FE7">
              <w:rPr>
                <w:rFonts w:ascii="Cambria" w:hAnsi="Cambria"/>
                <w:sz w:val="20"/>
                <w:szCs w:val="20"/>
              </w:rPr>
              <w:t>Antitrámites</w:t>
            </w:r>
            <w:proofErr w:type="spellEnd"/>
          </w:p>
        </w:tc>
        <w:tc>
          <w:tcPr>
            <w:tcW w:w="1134" w:type="dxa"/>
            <w:shd w:val="clear" w:color="auto" w:fill="auto"/>
            <w:vAlign w:val="center"/>
          </w:tcPr>
          <w:p w:rsidR="00035C10" w:rsidRPr="00081FE7" w:rsidRDefault="00035C10" w:rsidP="00A03FD7">
            <w:pPr>
              <w:spacing w:line="259" w:lineRule="auto"/>
              <w:jc w:val="center"/>
              <w:rPr>
                <w:rFonts w:ascii="Cambria" w:hAnsi="Cambria"/>
                <w:sz w:val="20"/>
                <w:szCs w:val="20"/>
              </w:rPr>
            </w:pPr>
            <w:r w:rsidRPr="00081FE7">
              <w:rPr>
                <w:rFonts w:ascii="Cambria" w:hAnsi="Cambria"/>
                <w:sz w:val="20"/>
                <w:szCs w:val="20"/>
              </w:rPr>
              <w:t>Todo</w:t>
            </w:r>
          </w:p>
        </w:tc>
        <w:tc>
          <w:tcPr>
            <w:tcW w:w="5011" w:type="dxa"/>
            <w:shd w:val="clear" w:color="auto" w:fill="auto"/>
            <w:vAlign w:val="center"/>
          </w:tcPr>
          <w:p w:rsidR="00035C10" w:rsidRPr="00081FE7" w:rsidRDefault="00035C10" w:rsidP="00A03FD7">
            <w:pPr>
              <w:spacing w:line="259" w:lineRule="auto"/>
              <w:jc w:val="both"/>
              <w:rPr>
                <w:rFonts w:ascii="Cambria" w:hAnsi="Cambria"/>
                <w:sz w:val="20"/>
                <w:szCs w:val="20"/>
              </w:rPr>
            </w:pPr>
            <w:r w:rsidRPr="00081FE7">
              <w:rPr>
                <w:rFonts w:ascii="Cambria" w:hAnsi="Cambria"/>
                <w:sz w:val="20"/>
                <w:szCs w:val="20"/>
              </w:rPr>
              <w:t>Dicta las normas para suprimir o reformar regulaciones, procedimientos y trámites innecesarios existentes en la Administración Pública.</w:t>
            </w:r>
          </w:p>
        </w:tc>
      </w:tr>
      <w:tr w:rsidR="00035C10" w:rsidRPr="00081FE7" w:rsidTr="004468AC">
        <w:tc>
          <w:tcPr>
            <w:tcW w:w="1554" w:type="dxa"/>
            <w:vMerge/>
            <w:shd w:val="clear" w:color="auto" w:fill="auto"/>
            <w:vAlign w:val="center"/>
          </w:tcPr>
          <w:p w:rsidR="00035C10" w:rsidRPr="00081FE7" w:rsidRDefault="00035C10" w:rsidP="00A03FD7">
            <w:pPr>
              <w:spacing w:line="259" w:lineRule="auto"/>
              <w:jc w:val="center"/>
              <w:rPr>
                <w:rFonts w:ascii="Cambria" w:hAnsi="Cambria"/>
                <w:sz w:val="20"/>
                <w:szCs w:val="20"/>
              </w:rPr>
            </w:pPr>
          </w:p>
        </w:tc>
        <w:tc>
          <w:tcPr>
            <w:tcW w:w="2269" w:type="dxa"/>
            <w:shd w:val="clear" w:color="auto" w:fill="auto"/>
            <w:vAlign w:val="center"/>
          </w:tcPr>
          <w:p w:rsidR="00035C10" w:rsidRPr="00081FE7" w:rsidRDefault="00035C10" w:rsidP="00A03FD7">
            <w:pPr>
              <w:spacing w:line="259" w:lineRule="auto"/>
              <w:ind w:left="-107"/>
              <w:jc w:val="center"/>
              <w:rPr>
                <w:rFonts w:ascii="Cambria" w:hAnsi="Cambria"/>
                <w:sz w:val="20"/>
                <w:szCs w:val="20"/>
              </w:rPr>
            </w:pPr>
            <w:r w:rsidRPr="00081FE7">
              <w:rPr>
                <w:rFonts w:ascii="Cambria" w:hAnsi="Cambria"/>
                <w:sz w:val="20"/>
                <w:szCs w:val="20"/>
              </w:rPr>
              <w:t>Ley 962 de 2005</w:t>
            </w:r>
          </w:p>
          <w:p w:rsidR="00035C10" w:rsidRPr="00081FE7" w:rsidRDefault="00035C10" w:rsidP="00A03FD7">
            <w:pPr>
              <w:spacing w:line="259" w:lineRule="auto"/>
              <w:ind w:left="-107"/>
              <w:jc w:val="center"/>
              <w:rPr>
                <w:rFonts w:ascii="Cambria" w:hAnsi="Cambria"/>
                <w:sz w:val="20"/>
                <w:szCs w:val="20"/>
              </w:rPr>
            </w:pPr>
            <w:r w:rsidRPr="00081FE7">
              <w:rPr>
                <w:rFonts w:ascii="Cambria" w:hAnsi="Cambria"/>
                <w:sz w:val="20"/>
                <w:szCs w:val="20"/>
              </w:rPr>
              <w:t xml:space="preserve">Ley </w:t>
            </w:r>
            <w:proofErr w:type="spellStart"/>
            <w:r w:rsidRPr="00081FE7">
              <w:rPr>
                <w:rFonts w:ascii="Cambria" w:hAnsi="Cambria"/>
                <w:sz w:val="20"/>
                <w:szCs w:val="20"/>
              </w:rPr>
              <w:t>Antitrámites</w:t>
            </w:r>
            <w:proofErr w:type="spellEnd"/>
          </w:p>
        </w:tc>
        <w:tc>
          <w:tcPr>
            <w:tcW w:w="1134" w:type="dxa"/>
            <w:shd w:val="clear" w:color="auto" w:fill="auto"/>
            <w:vAlign w:val="center"/>
          </w:tcPr>
          <w:p w:rsidR="00035C10" w:rsidRPr="00081FE7" w:rsidRDefault="00035C10" w:rsidP="00A03FD7">
            <w:pPr>
              <w:spacing w:line="259" w:lineRule="auto"/>
              <w:jc w:val="center"/>
              <w:rPr>
                <w:rFonts w:ascii="Cambria" w:hAnsi="Cambria"/>
                <w:sz w:val="20"/>
                <w:szCs w:val="20"/>
              </w:rPr>
            </w:pPr>
            <w:r w:rsidRPr="00081FE7">
              <w:rPr>
                <w:rFonts w:ascii="Cambria" w:hAnsi="Cambria"/>
                <w:sz w:val="20"/>
                <w:szCs w:val="20"/>
              </w:rPr>
              <w:t>Todo</w:t>
            </w:r>
          </w:p>
        </w:tc>
        <w:tc>
          <w:tcPr>
            <w:tcW w:w="5011" w:type="dxa"/>
            <w:shd w:val="clear" w:color="auto" w:fill="auto"/>
            <w:vAlign w:val="center"/>
          </w:tcPr>
          <w:p w:rsidR="00035C10" w:rsidRPr="00081FE7" w:rsidRDefault="00035C10" w:rsidP="00A03FD7">
            <w:pPr>
              <w:spacing w:line="259" w:lineRule="auto"/>
              <w:jc w:val="both"/>
              <w:rPr>
                <w:rFonts w:ascii="Cambria" w:hAnsi="Cambria"/>
                <w:sz w:val="20"/>
                <w:szCs w:val="20"/>
              </w:rPr>
            </w:pPr>
            <w:r w:rsidRPr="00081FE7">
              <w:rPr>
                <w:rFonts w:ascii="Cambria" w:hAnsi="Cambria"/>
                <w:sz w:val="20"/>
                <w:szCs w:val="20"/>
              </w:rPr>
              <w:t>Dicta disposiciones sobre racionalización de trámites y procedimientos administrativos de los organismos y entidades del Estado y de los particulares que ejercen funciones públicas o prestan servicios públicos.</w:t>
            </w:r>
          </w:p>
        </w:tc>
      </w:tr>
      <w:tr w:rsidR="00516B89" w:rsidRPr="00081FE7" w:rsidTr="004468AC">
        <w:tc>
          <w:tcPr>
            <w:tcW w:w="1554" w:type="dxa"/>
            <w:vMerge/>
            <w:shd w:val="clear" w:color="auto" w:fill="auto"/>
            <w:vAlign w:val="center"/>
          </w:tcPr>
          <w:p w:rsidR="00516B89" w:rsidRPr="00081FE7" w:rsidRDefault="00516B89" w:rsidP="00A03FD7">
            <w:pPr>
              <w:spacing w:line="259" w:lineRule="auto"/>
              <w:jc w:val="center"/>
              <w:rPr>
                <w:rFonts w:ascii="Cambria" w:hAnsi="Cambria"/>
                <w:sz w:val="20"/>
                <w:szCs w:val="20"/>
              </w:rPr>
            </w:pPr>
          </w:p>
        </w:tc>
        <w:tc>
          <w:tcPr>
            <w:tcW w:w="2269" w:type="dxa"/>
            <w:shd w:val="clear" w:color="auto" w:fill="auto"/>
            <w:vAlign w:val="center"/>
          </w:tcPr>
          <w:p w:rsidR="00516B89" w:rsidRPr="00081FE7" w:rsidRDefault="00516B89" w:rsidP="00A03FD7">
            <w:pPr>
              <w:spacing w:line="259" w:lineRule="auto"/>
              <w:ind w:left="-107"/>
              <w:jc w:val="center"/>
              <w:rPr>
                <w:rFonts w:ascii="Cambria" w:hAnsi="Cambria"/>
                <w:sz w:val="20"/>
                <w:szCs w:val="20"/>
              </w:rPr>
            </w:pPr>
            <w:r>
              <w:rPr>
                <w:rFonts w:ascii="Cambria" w:hAnsi="Cambria"/>
                <w:sz w:val="20"/>
                <w:szCs w:val="20"/>
              </w:rPr>
              <w:t>Decreto Ley 2106 de 2019</w:t>
            </w:r>
          </w:p>
        </w:tc>
        <w:tc>
          <w:tcPr>
            <w:tcW w:w="1134" w:type="dxa"/>
            <w:shd w:val="clear" w:color="auto" w:fill="auto"/>
            <w:vAlign w:val="center"/>
          </w:tcPr>
          <w:p w:rsidR="00516B89" w:rsidRPr="00081FE7" w:rsidRDefault="00516B89" w:rsidP="00A03FD7">
            <w:pPr>
              <w:spacing w:line="259" w:lineRule="auto"/>
              <w:jc w:val="center"/>
              <w:rPr>
                <w:rFonts w:ascii="Cambria" w:hAnsi="Cambria"/>
                <w:sz w:val="20"/>
                <w:szCs w:val="20"/>
              </w:rPr>
            </w:pPr>
          </w:p>
        </w:tc>
        <w:tc>
          <w:tcPr>
            <w:tcW w:w="5011" w:type="dxa"/>
            <w:shd w:val="clear" w:color="auto" w:fill="auto"/>
            <w:vAlign w:val="center"/>
          </w:tcPr>
          <w:p w:rsidR="00516B89" w:rsidRPr="00081FE7" w:rsidRDefault="00516B89" w:rsidP="00A03FD7">
            <w:pPr>
              <w:spacing w:line="259" w:lineRule="auto"/>
              <w:jc w:val="both"/>
              <w:rPr>
                <w:rFonts w:ascii="Cambria" w:hAnsi="Cambria"/>
                <w:sz w:val="20"/>
                <w:szCs w:val="20"/>
              </w:rPr>
            </w:pPr>
            <w:r>
              <w:rPr>
                <w:rFonts w:ascii="Cambria" w:hAnsi="Cambria"/>
                <w:sz w:val="20"/>
                <w:szCs w:val="20"/>
              </w:rPr>
              <w:t>Dicta</w:t>
            </w:r>
            <w:r w:rsidRPr="00516B89">
              <w:rPr>
                <w:rFonts w:ascii="Cambria" w:hAnsi="Cambria"/>
                <w:sz w:val="20"/>
                <w:szCs w:val="20"/>
              </w:rPr>
              <w:t xml:space="preserve"> normas para simplificar, suprimir y reformar trámites, procesos y procedimientos innecesarios existentes en la administración pública</w:t>
            </w:r>
            <w:r>
              <w:rPr>
                <w:rFonts w:ascii="Cambria" w:hAnsi="Cambria"/>
                <w:sz w:val="20"/>
                <w:szCs w:val="20"/>
              </w:rPr>
              <w:t>.</w:t>
            </w:r>
          </w:p>
        </w:tc>
      </w:tr>
      <w:tr w:rsidR="00035C10" w:rsidRPr="00081FE7" w:rsidTr="004468AC">
        <w:tc>
          <w:tcPr>
            <w:tcW w:w="1554" w:type="dxa"/>
            <w:vMerge/>
            <w:shd w:val="clear" w:color="auto" w:fill="auto"/>
            <w:vAlign w:val="center"/>
          </w:tcPr>
          <w:p w:rsidR="00035C10" w:rsidRPr="00081FE7" w:rsidRDefault="00035C10" w:rsidP="00A03FD7">
            <w:pPr>
              <w:spacing w:line="259" w:lineRule="auto"/>
              <w:jc w:val="center"/>
              <w:rPr>
                <w:rFonts w:ascii="Cambria" w:hAnsi="Cambria"/>
                <w:sz w:val="20"/>
                <w:szCs w:val="20"/>
              </w:rPr>
            </w:pPr>
          </w:p>
        </w:tc>
        <w:tc>
          <w:tcPr>
            <w:tcW w:w="2269" w:type="dxa"/>
            <w:shd w:val="clear" w:color="auto" w:fill="auto"/>
            <w:vAlign w:val="center"/>
          </w:tcPr>
          <w:p w:rsidR="00035C10" w:rsidRPr="00081FE7" w:rsidRDefault="00035C10" w:rsidP="00A03FD7">
            <w:pPr>
              <w:spacing w:line="259" w:lineRule="auto"/>
              <w:ind w:left="-107"/>
              <w:jc w:val="center"/>
              <w:rPr>
                <w:rFonts w:ascii="Cambria" w:hAnsi="Cambria"/>
                <w:sz w:val="20"/>
                <w:szCs w:val="20"/>
              </w:rPr>
            </w:pPr>
            <w:r>
              <w:rPr>
                <w:rFonts w:ascii="Cambria" w:hAnsi="Cambria"/>
                <w:sz w:val="20"/>
                <w:szCs w:val="20"/>
              </w:rPr>
              <w:t>Ley 2052 de 2020 Racionalización de Trámites</w:t>
            </w:r>
          </w:p>
        </w:tc>
        <w:tc>
          <w:tcPr>
            <w:tcW w:w="1134" w:type="dxa"/>
            <w:shd w:val="clear" w:color="auto" w:fill="auto"/>
            <w:vAlign w:val="center"/>
          </w:tcPr>
          <w:p w:rsidR="00035C10" w:rsidRPr="00081FE7" w:rsidRDefault="00035C10" w:rsidP="00A03FD7">
            <w:pPr>
              <w:spacing w:line="259" w:lineRule="auto"/>
              <w:jc w:val="center"/>
              <w:rPr>
                <w:rFonts w:ascii="Cambria" w:hAnsi="Cambria"/>
                <w:sz w:val="20"/>
                <w:szCs w:val="20"/>
              </w:rPr>
            </w:pPr>
          </w:p>
        </w:tc>
        <w:tc>
          <w:tcPr>
            <w:tcW w:w="5011" w:type="dxa"/>
            <w:shd w:val="clear" w:color="auto" w:fill="auto"/>
            <w:vAlign w:val="center"/>
          </w:tcPr>
          <w:p w:rsidR="00035C10" w:rsidRPr="00081FE7" w:rsidRDefault="00035C10" w:rsidP="00A03FD7">
            <w:pPr>
              <w:spacing w:line="259" w:lineRule="auto"/>
              <w:jc w:val="both"/>
              <w:rPr>
                <w:rFonts w:ascii="Cambria" w:hAnsi="Cambria"/>
                <w:sz w:val="20"/>
                <w:szCs w:val="20"/>
              </w:rPr>
            </w:pPr>
            <w:r>
              <w:rPr>
                <w:rFonts w:ascii="Cambria" w:hAnsi="Cambria"/>
                <w:sz w:val="20"/>
                <w:szCs w:val="20"/>
              </w:rPr>
              <w:t>Establece</w:t>
            </w:r>
            <w:r w:rsidRPr="00FD0039">
              <w:rPr>
                <w:rFonts w:ascii="Cambria" w:hAnsi="Cambria"/>
                <w:sz w:val="20"/>
                <w:szCs w:val="20"/>
              </w:rPr>
              <w:t xml:space="preserve"> disposiciones transversales a la rama ejecutiva del nivel nacional y territorial y a los particulares que cumplan funciones públicas y/o administrativas, en relación con la racionalización de trámites y se dictan otras disposiciones</w:t>
            </w:r>
            <w:r>
              <w:rPr>
                <w:rFonts w:ascii="Cambria" w:hAnsi="Cambria"/>
                <w:sz w:val="20"/>
                <w:szCs w:val="20"/>
              </w:rPr>
              <w:t>.</w:t>
            </w:r>
          </w:p>
        </w:tc>
      </w:tr>
      <w:tr w:rsidR="00035C10" w:rsidRPr="00081FE7" w:rsidTr="004468AC">
        <w:tc>
          <w:tcPr>
            <w:tcW w:w="1554" w:type="dxa"/>
            <w:vMerge/>
            <w:shd w:val="clear" w:color="auto" w:fill="auto"/>
            <w:vAlign w:val="center"/>
          </w:tcPr>
          <w:p w:rsidR="00035C10" w:rsidRPr="00081FE7" w:rsidRDefault="00035C10" w:rsidP="00A03FD7">
            <w:pPr>
              <w:spacing w:line="259" w:lineRule="auto"/>
              <w:jc w:val="center"/>
              <w:rPr>
                <w:rFonts w:ascii="Cambria" w:hAnsi="Cambria"/>
                <w:sz w:val="20"/>
                <w:szCs w:val="20"/>
              </w:rPr>
            </w:pPr>
          </w:p>
        </w:tc>
        <w:tc>
          <w:tcPr>
            <w:tcW w:w="2269" w:type="dxa"/>
            <w:shd w:val="clear" w:color="auto" w:fill="auto"/>
            <w:vAlign w:val="center"/>
          </w:tcPr>
          <w:p w:rsidR="00035C10" w:rsidRDefault="00035C10" w:rsidP="00A03FD7">
            <w:pPr>
              <w:spacing w:line="259" w:lineRule="auto"/>
              <w:ind w:left="-107"/>
              <w:jc w:val="center"/>
              <w:rPr>
                <w:rFonts w:ascii="Cambria" w:hAnsi="Cambria"/>
                <w:sz w:val="20"/>
                <w:szCs w:val="20"/>
              </w:rPr>
            </w:pPr>
            <w:r>
              <w:rPr>
                <w:rFonts w:ascii="Cambria" w:hAnsi="Cambria"/>
                <w:sz w:val="20"/>
                <w:szCs w:val="20"/>
              </w:rPr>
              <w:t>Resolución 455 de 2021 DAFP</w:t>
            </w:r>
          </w:p>
          <w:p w:rsidR="0088538A" w:rsidRPr="00081FE7" w:rsidRDefault="0088538A" w:rsidP="00A03FD7">
            <w:pPr>
              <w:spacing w:line="259" w:lineRule="auto"/>
              <w:ind w:left="-107"/>
              <w:jc w:val="center"/>
              <w:rPr>
                <w:rFonts w:ascii="Cambria" w:hAnsi="Cambria"/>
                <w:sz w:val="20"/>
                <w:szCs w:val="20"/>
              </w:rPr>
            </w:pPr>
            <w:r>
              <w:rPr>
                <w:rFonts w:ascii="Cambria" w:hAnsi="Cambria"/>
                <w:sz w:val="20"/>
                <w:szCs w:val="20"/>
              </w:rPr>
              <w:t>Deroga la Resolución 1099 de 2017</w:t>
            </w:r>
          </w:p>
        </w:tc>
        <w:tc>
          <w:tcPr>
            <w:tcW w:w="1134" w:type="dxa"/>
            <w:shd w:val="clear" w:color="auto" w:fill="auto"/>
            <w:vAlign w:val="center"/>
          </w:tcPr>
          <w:p w:rsidR="00035C10" w:rsidRPr="00081FE7" w:rsidRDefault="00035C10" w:rsidP="00A03FD7">
            <w:pPr>
              <w:spacing w:line="259" w:lineRule="auto"/>
              <w:jc w:val="center"/>
              <w:rPr>
                <w:rFonts w:ascii="Cambria" w:hAnsi="Cambria"/>
                <w:sz w:val="20"/>
                <w:szCs w:val="20"/>
              </w:rPr>
            </w:pPr>
          </w:p>
        </w:tc>
        <w:tc>
          <w:tcPr>
            <w:tcW w:w="5011" w:type="dxa"/>
            <w:shd w:val="clear" w:color="auto" w:fill="auto"/>
            <w:vAlign w:val="center"/>
          </w:tcPr>
          <w:p w:rsidR="00035C10" w:rsidRPr="00081FE7" w:rsidRDefault="00035C10" w:rsidP="00A03FD7">
            <w:pPr>
              <w:spacing w:line="259" w:lineRule="auto"/>
              <w:jc w:val="both"/>
              <w:rPr>
                <w:rFonts w:ascii="Cambria" w:hAnsi="Cambria"/>
                <w:sz w:val="20"/>
                <w:szCs w:val="20"/>
              </w:rPr>
            </w:pPr>
            <w:r>
              <w:rPr>
                <w:rFonts w:ascii="Cambria" w:hAnsi="Cambria"/>
                <w:sz w:val="20"/>
                <w:szCs w:val="20"/>
              </w:rPr>
              <w:t>Establece</w:t>
            </w:r>
            <w:r w:rsidRPr="00FD0039">
              <w:rPr>
                <w:rFonts w:ascii="Cambria" w:hAnsi="Cambria"/>
                <w:sz w:val="20"/>
                <w:szCs w:val="20"/>
              </w:rPr>
              <w:t xml:space="preserve"> lineamientos generales para la autorización de trámites creados por la ley, la modificación de los trámites existentes, el seguimiento a la política de simplificación, racionalización y estandarización de trámites y se reglamenta el Artículo 25 de la Ley 2052 de 2020”</w:t>
            </w:r>
          </w:p>
        </w:tc>
      </w:tr>
      <w:tr w:rsidR="00081FE7" w:rsidRPr="00081FE7" w:rsidTr="004468AC">
        <w:tc>
          <w:tcPr>
            <w:tcW w:w="1554" w:type="dxa"/>
            <w:vMerge w:val="restart"/>
            <w:shd w:val="clear" w:color="auto" w:fill="auto"/>
            <w:vAlign w:val="center"/>
          </w:tcPr>
          <w:p w:rsidR="00081FE7" w:rsidRPr="00081FE7" w:rsidRDefault="00081FE7" w:rsidP="00A03FD7">
            <w:pPr>
              <w:spacing w:line="259" w:lineRule="auto"/>
              <w:jc w:val="center"/>
              <w:rPr>
                <w:rFonts w:ascii="Cambria" w:hAnsi="Cambria"/>
                <w:sz w:val="20"/>
                <w:szCs w:val="20"/>
              </w:rPr>
            </w:pPr>
            <w:r w:rsidRPr="00081FE7">
              <w:rPr>
                <w:rFonts w:ascii="Cambria" w:hAnsi="Cambria"/>
                <w:sz w:val="20"/>
                <w:szCs w:val="20"/>
              </w:rPr>
              <w:t>Modelo Estándar de Control Interno para el Estado Colombiano (MECI)</w:t>
            </w:r>
          </w:p>
        </w:tc>
        <w:tc>
          <w:tcPr>
            <w:tcW w:w="2269" w:type="dxa"/>
            <w:shd w:val="clear" w:color="auto" w:fill="auto"/>
            <w:vAlign w:val="center"/>
          </w:tcPr>
          <w:p w:rsidR="00081FE7" w:rsidRPr="00081FE7" w:rsidRDefault="00081FE7" w:rsidP="00A03FD7">
            <w:pPr>
              <w:spacing w:line="259" w:lineRule="auto"/>
              <w:ind w:left="-107"/>
              <w:jc w:val="center"/>
              <w:rPr>
                <w:rFonts w:ascii="Cambria" w:hAnsi="Cambria"/>
                <w:sz w:val="20"/>
                <w:szCs w:val="20"/>
              </w:rPr>
            </w:pPr>
            <w:r w:rsidRPr="00081FE7">
              <w:rPr>
                <w:rFonts w:ascii="Cambria" w:hAnsi="Cambria"/>
                <w:sz w:val="20"/>
                <w:szCs w:val="20"/>
              </w:rPr>
              <w:t>Decreto 943 de 2014 MECI</w:t>
            </w:r>
          </w:p>
        </w:tc>
        <w:tc>
          <w:tcPr>
            <w:tcW w:w="1134" w:type="dxa"/>
            <w:shd w:val="clear" w:color="auto" w:fill="auto"/>
            <w:vAlign w:val="center"/>
          </w:tcPr>
          <w:p w:rsidR="00081FE7" w:rsidRPr="00081FE7" w:rsidRDefault="00081FE7" w:rsidP="00A03FD7">
            <w:pPr>
              <w:spacing w:line="259" w:lineRule="auto"/>
              <w:jc w:val="center"/>
              <w:rPr>
                <w:rFonts w:ascii="Cambria" w:hAnsi="Cambria"/>
                <w:sz w:val="20"/>
                <w:szCs w:val="20"/>
              </w:rPr>
            </w:pPr>
            <w:r w:rsidRPr="00081FE7">
              <w:rPr>
                <w:rFonts w:ascii="Cambria" w:hAnsi="Cambria"/>
                <w:sz w:val="20"/>
                <w:szCs w:val="20"/>
              </w:rPr>
              <w:t>Arts. 1 y</w:t>
            </w:r>
          </w:p>
          <w:p w:rsidR="00081FE7" w:rsidRPr="00081FE7" w:rsidRDefault="00081FE7" w:rsidP="00A03FD7">
            <w:pPr>
              <w:spacing w:line="259" w:lineRule="auto"/>
              <w:jc w:val="center"/>
              <w:rPr>
                <w:rFonts w:ascii="Cambria" w:hAnsi="Cambria"/>
                <w:sz w:val="20"/>
                <w:szCs w:val="20"/>
              </w:rPr>
            </w:pPr>
            <w:r w:rsidRPr="00081FE7">
              <w:rPr>
                <w:rFonts w:ascii="Cambria" w:hAnsi="Cambria"/>
                <w:sz w:val="20"/>
                <w:szCs w:val="20"/>
              </w:rPr>
              <w:t>siguientes</w:t>
            </w:r>
          </w:p>
        </w:tc>
        <w:tc>
          <w:tcPr>
            <w:tcW w:w="5011" w:type="dxa"/>
            <w:shd w:val="clear" w:color="auto" w:fill="auto"/>
            <w:vAlign w:val="center"/>
          </w:tcPr>
          <w:p w:rsidR="00081FE7" w:rsidRPr="00081FE7" w:rsidRDefault="00081FE7" w:rsidP="00A03FD7">
            <w:pPr>
              <w:spacing w:line="259" w:lineRule="auto"/>
              <w:jc w:val="both"/>
              <w:rPr>
                <w:rFonts w:ascii="Cambria" w:hAnsi="Cambria"/>
                <w:sz w:val="20"/>
                <w:szCs w:val="20"/>
              </w:rPr>
            </w:pPr>
            <w:r w:rsidRPr="00081FE7">
              <w:rPr>
                <w:rFonts w:ascii="Cambria" w:hAnsi="Cambria"/>
                <w:sz w:val="20"/>
                <w:szCs w:val="20"/>
              </w:rPr>
              <w:t>Adopta la actualización del Modelo Estándar de Control Interno para el Estado Colombiano (MECI).</w:t>
            </w:r>
          </w:p>
        </w:tc>
      </w:tr>
      <w:tr w:rsidR="00081FE7" w:rsidRPr="00081FE7" w:rsidTr="004468AC">
        <w:tc>
          <w:tcPr>
            <w:tcW w:w="1554" w:type="dxa"/>
            <w:vMerge/>
            <w:shd w:val="clear" w:color="auto" w:fill="auto"/>
            <w:vAlign w:val="center"/>
          </w:tcPr>
          <w:p w:rsidR="00081FE7" w:rsidRPr="00081FE7" w:rsidRDefault="00081FE7" w:rsidP="00A03FD7">
            <w:pPr>
              <w:spacing w:line="259" w:lineRule="auto"/>
              <w:jc w:val="center"/>
              <w:rPr>
                <w:rFonts w:ascii="Cambria" w:hAnsi="Cambria"/>
                <w:sz w:val="20"/>
                <w:szCs w:val="20"/>
              </w:rPr>
            </w:pPr>
          </w:p>
        </w:tc>
        <w:tc>
          <w:tcPr>
            <w:tcW w:w="2269" w:type="dxa"/>
            <w:shd w:val="clear" w:color="auto" w:fill="auto"/>
            <w:vAlign w:val="center"/>
          </w:tcPr>
          <w:p w:rsidR="00081FE7" w:rsidRPr="00081FE7" w:rsidRDefault="00081FE7" w:rsidP="00A03FD7">
            <w:pPr>
              <w:spacing w:line="259" w:lineRule="auto"/>
              <w:ind w:left="-107"/>
              <w:jc w:val="center"/>
              <w:rPr>
                <w:rFonts w:ascii="Cambria" w:hAnsi="Cambria"/>
                <w:sz w:val="20"/>
                <w:szCs w:val="20"/>
              </w:rPr>
            </w:pPr>
            <w:r w:rsidRPr="00081FE7">
              <w:rPr>
                <w:rFonts w:ascii="Cambria" w:hAnsi="Cambria"/>
                <w:sz w:val="20"/>
                <w:szCs w:val="20"/>
              </w:rPr>
              <w:t>Decreto 1083 de 2015 Único Función Pública</w:t>
            </w:r>
          </w:p>
        </w:tc>
        <w:tc>
          <w:tcPr>
            <w:tcW w:w="1134" w:type="dxa"/>
            <w:shd w:val="clear" w:color="auto" w:fill="auto"/>
            <w:vAlign w:val="center"/>
          </w:tcPr>
          <w:p w:rsidR="00081FE7" w:rsidRPr="00081FE7" w:rsidRDefault="00081FE7" w:rsidP="00A03FD7">
            <w:pPr>
              <w:spacing w:line="259" w:lineRule="auto"/>
              <w:jc w:val="center"/>
              <w:rPr>
                <w:rFonts w:ascii="Cambria" w:hAnsi="Cambria"/>
                <w:sz w:val="20"/>
                <w:szCs w:val="20"/>
              </w:rPr>
            </w:pPr>
            <w:r w:rsidRPr="00081FE7">
              <w:rPr>
                <w:rFonts w:ascii="Cambria" w:hAnsi="Cambria"/>
                <w:sz w:val="20"/>
                <w:szCs w:val="20"/>
              </w:rPr>
              <w:t>Arts.</w:t>
            </w:r>
          </w:p>
          <w:p w:rsidR="00081FE7" w:rsidRPr="00081FE7" w:rsidRDefault="00081FE7" w:rsidP="00A03FD7">
            <w:pPr>
              <w:spacing w:line="259" w:lineRule="auto"/>
              <w:jc w:val="center"/>
              <w:rPr>
                <w:rFonts w:ascii="Cambria" w:hAnsi="Cambria"/>
                <w:sz w:val="20"/>
                <w:szCs w:val="20"/>
              </w:rPr>
            </w:pPr>
            <w:r w:rsidRPr="00081FE7">
              <w:rPr>
                <w:rFonts w:ascii="Cambria" w:hAnsi="Cambria"/>
                <w:sz w:val="20"/>
                <w:szCs w:val="20"/>
              </w:rPr>
              <w:t>2.2.21.6.1 y</w:t>
            </w:r>
          </w:p>
          <w:p w:rsidR="00081FE7" w:rsidRPr="00081FE7" w:rsidRDefault="00081FE7" w:rsidP="00A03FD7">
            <w:pPr>
              <w:spacing w:line="259" w:lineRule="auto"/>
              <w:jc w:val="center"/>
              <w:rPr>
                <w:rFonts w:ascii="Cambria" w:hAnsi="Cambria"/>
                <w:sz w:val="20"/>
                <w:szCs w:val="20"/>
              </w:rPr>
            </w:pPr>
            <w:r w:rsidRPr="00081FE7">
              <w:rPr>
                <w:rFonts w:ascii="Cambria" w:hAnsi="Cambria"/>
                <w:sz w:val="20"/>
                <w:szCs w:val="20"/>
              </w:rPr>
              <w:t>siguientes</w:t>
            </w:r>
          </w:p>
        </w:tc>
        <w:tc>
          <w:tcPr>
            <w:tcW w:w="5011" w:type="dxa"/>
            <w:shd w:val="clear" w:color="auto" w:fill="auto"/>
            <w:vAlign w:val="center"/>
          </w:tcPr>
          <w:p w:rsidR="00081FE7" w:rsidRPr="00081FE7" w:rsidRDefault="00081FE7" w:rsidP="00A03FD7">
            <w:pPr>
              <w:spacing w:line="259" w:lineRule="auto"/>
              <w:jc w:val="both"/>
              <w:rPr>
                <w:rFonts w:ascii="Cambria" w:hAnsi="Cambria"/>
                <w:sz w:val="20"/>
                <w:szCs w:val="20"/>
              </w:rPr>
            </w:pPr>
            <w:r w:rsidRPr="00081FE7">
              <w:rPr>
                <w:rFonts w:ascii="Cambria" w:hAnsi="Cambria"/>
                <w:sz w:val="20"/>
                <w:szCs w:val="20"/>
              </w:rPr>
              <w:t>Adopta la actualización del MECI.</w:t>
            </w:r>
          </w:p>
        </w:tc>
      </w:tr>
      <w:tr w:rsidR="004468AC" w:rsidRPr="00081FE7" w:rsidTr="004468AC">
        <w:tc>
          <w:tcPr>
            <w:tcW w:w="1554" w:type="dxa"/>
            <w:vMerge w:val="restart"/>
            <w:shd w:val="clear" w:color="auto" w:fill="auto"/>
            <w:vAlign w:val="center"/>
          </w:tcPr>
          <w:p w:rsidR="004468AC" w:rsidRPr="00081FE7" w:rsidRDefault="004468AC" w:rsidP="00A03FD7">
            <w:pPr>
              <w:spacing w:line="259" w:lineRule="auto"/>
              <w:jc w:val="center"/>
              <w:rPr>
                <w:rFonts w:ascii="Cambria" w:hAnsi="Cambria"/>
                <w:sz w:val="20"/>
                <w:szCs w:val="20"/>
              </w:rPr>
            </w:pPr>
            <w:r w:rsidRPr="00081FE7">
              <w:rPr>
                <w:rFonts w:ascii="Cambria" w:hAnsi="Cambria"/>
                <w:sz w:val="20"/>
                <w:szCs w:val="20"/>
              </w:rPr>
              <w:t>Rendición de</w:t>
            </w:r>
          </w:p>
          <w:p w:rsidR="004468AC" w:rsidRPr="00081FE7" w:rsidRDefault="004468AC" w:rsidP="00A03FD7">
            <w:pPr>
              <w:spacing w:line="259" w:lineRule="auto"/>
              <w:jc w:val="center"/>
              <w:rPr>
                <w:rFonts w:ascii="Cambria" w:hAnsi="Cambria"/>
                <w:sz w:val="20"/>
                <w:szCs w:val="20"/>
              </w:rPr>
            </w:pPr>
            <w:r w:rsidRPr="00081FE7">
              <w:rPr>
                <w:rFonts w:ascii="Cambria" w:hAnsi="Cambria"/>
                <w:sz w:val="20"/>
                <w:szCs w:val="20"/>
              </w:rPr>
              <w:t>Cuentas</w:t>
            </w:r>
          </w:p>
        </w:tc>
        <w:tc>
          <w:tcPr>
            <w:tcW w:w="2269" w:type="dxa"/>
            <w:shd w:val="clear" w:color="auto" w:fill="auto"/>
            <w:vAlign w:val="center"/>
          </w:tcPr>
          <w:p w:rsidR="004468AC" w:rsidRPr="00081FE7" w:rsidRDefault="004468AC" w:rsidP="00A03FD7">
            <w:pPr>
              <w:spacing w:line="259" w:lineRule="auto"/>
              <w:ind w:left="-107"/>
              <w:jc w:val="center"/>
              <w:rPr>
                <w:rFonts w:ascii="Cambria" w:hAnsi="Cambria"/>
                <w:sz w:val="20"/>
                <w:szCs w:val="20"/>
              </w:rPr>
            </w:pPr>
            <w:r w:rsidRPr="00081FE7">
              <w:rPr>
                <w:rFonts w:ascii="Cambria" w:hAnsi="Cambria"/>
                <w:sz w:val="20"/>
                <w:szCs w:val="20"/>
              </w:rPr>
              <w:t>Ley 1757 de 2015</w:t>
            </w:r>
          </w:p>
          <w:p w:rsidR="004468AC" w:rsidRPr="00081FE7" w:rsidRDefault="004468AC" w:rsidP="00A03FD7">
            <w:pPr>
              <w:spacing w:line="259" w:lineRule="auto"/>
              <w:ind w:left="-107"/>
              <w:jc w:val="center"/>
              <w:rPr>
                <w:rFonts w:ascii="Cambria" w:hAnsi="Cambria"/>
                <w:sz w:val="20"/>
                <w:szCs w:val="20"/>
              </w:rPr>
            </w:pPr>
            <w:r w:rsidRPr="00081FE7">
              <w:rPr>
                <w:rFonts w:ascii="Cambria" w:hAnsi="Cambria"/>
                <w:sz w:val="20"/>
                <w:szCs w:val="20"/>
              </w:rPr>
              <w:t>Promoción y protección al derecho a la Participación Ciudadana</w:t>
            </w:r>
          </w:p>
        </w:tc>
        <w:tc>
          <w:tcPr>
            <w:tcW w:w="1134" w:type="dxa"/>
            <w:shd w:val="clear" w:color="auto" w:fill="auto"/>
            <w:vAlign w:val="center"/>
          </w:tcPr>
          <w:p w:rsidR="004468AC" w:rsidRPr="00081FE7" w:rsidRDefault="004468AC" w:rsidP="00A03FD7">
            <w:pPr>
              <w:spacing w:line="259" w:lineRule="auto"/>
              <w:jc w:val="center"/>
              <w:rPr>
                <w:rFonts w:ascii="Cambria" w:hAnsi="Cambria"/>
                <w:sz w:val="20"/>
                <w:szCs w:val="20"/>
              </w:rPr>
            </w:pPr>
            <w:r w:rsidRPr="00081FE7">
              <w:rPr>
                <w:rFonts w:ascii="Cambria" w:hAnsi="Cambria"/>
                <w:sz w:val="20"/>
                <w:szCs w:val="20"/>
              </w:rPr>
              <w:t>Arts. 48 y</w:t>
            </w:r>
          </w:p>
          <w:p w:rsidR="004468AC" w:rsidRPr="00081FE7" w:rsidRDefault="004468AC" w:rsidP="00A03FD7">
            <w:pPr>
              <w:spacing w:line="259" w:lineRule="auto"/>
              <w:jc w:val="center"/>
              <w:rPr>
                <w:rFonts w:ascii="Cambria" w:hAnsi="Cambria"/>
                <w:sz w:val="20"/>
                <w:szCs w:val="20"/>
              </w:rPr>
            </w:pPr>
            <w:r w:rsidRPr="00081FE7">
              <w:rPr>
                <w:rFonts w:ascii="Cambria" w:hAnsi="Cambria"/>
                <w:sz w:val="20"/>
                <w:szCs w:val="20"/>
              </w:rPr>
              <w:t>siguientes</w:t>
            </w:r>
          </w:p>
        </w:tc>
        <w:tc>
          <w:tcPr>
            <w:tcW w:w="5011" w:type="dxa"/>
            <w:shd w:val="clear" w:color="auto" w:fill="auto"/>
            <w:vAlign w:val="center"/>
          </w:tcPr>
          <w:p w:rsidR="004468AC" w:rsidRPr="00081FE7" w:rsidRDefault="004468AC" w:rsidP="00A03FD7">
            <w:pPr>
              <w:spacing w:line="259" w:lineRule="auto"/>
              <w:jc w:val="both"/>
              <w:rPr>
                <w:rFonts w:ascii="Cambria" w:hAnsi="Cambria"/>
                <w:sz w:val="20"/>
                <w:szCs w:val="20"/>
              </w:rPr>
            </w:pPr>
            <w:r w:rsidRPr="00081FE7">
              <w:rPr>
                <w:rFonts w:ascii="Cambria" w:hAnsi="Cambria"/>
                <w:sz w:val="20"/>
                <w:szCs w:val="20"/>
              </w:rPr>
              <w:t>La estrategia de rendición de cuentas hace parte del Plan Anticorrupción y de Atención al Ciudadano.</w:t>
            </w:r>
          </w:p>
        </w:tc>
      </w:tr>
      <w:tr w:rsidR="004468AC" w:rsidRPr="00081FE7" w:rsidTr="004468AC">
        <w:tc>
          <w:tcPr>
            <w:tcW w:w="1554" w:type="dxa"/>
            <w:vMerge/>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2269" w:type="dxa"/>
            <w:shd w:val="clear" w:color="auto" w:fill="auto"/>
            <w:vAlign w:val="center"/>
          </w:tcPr>
          <w:p w:rsidR="004468AC" w:rsidRPr="00081FE7" w:rsidRDefault="004468AC" w:rsidP="00A03FD7">
            <w:pPr>
              <w:spacing w:line="259" w:lineRule="auto"/>
              <w:ind w:left="-107"/>
              <w:jc w:val="center"/>
              <w:rPr>
                <w:rFonts w:ascii="Cambria" w:hAnsi="Cambria"/>
                <w:sz w:val="20"/>
                <w:szCs w:val="20"/>
              </w:rPr>
            </w:pPr>
            <w:r w:rsidRPr="00081FE7">
              <w:rPr>
                <w:rFonts w:ascii="Cambria" w:hAnsi="Cambria"/>
                <w:sz w:val="20"/>
                <w:szCs w:val="20"/>
              </w:rPr>
              <w:t>Manual Único de Rendición de Cuentas con Énfasis en Derechos Humanos y Paz – Versión 2. Agosto de 2017</w:t>
            </w:r>
          </w:p>
        </w:tc>
        <w:tc>
          <w:tcPr>
            <w:tcW w:w="1134" w:type="dxa"/>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5011" w:type="dxa"/>
            <w:shd w:val="clear" w:color="auto" w:fill="auto"/>
            <w:vAlign w:val="center"/>
          </w:tcPr>
          <w:p w:rsidR="004468AC" w:rsidRPr="00081FE7" w:rsidRDefault="004468AC" w:rsidP="00A03FD7">
            <w:pPr>
              <w:spacing w:line="259" w:lineRule="auto"/>
              <w:jc w:val="both"/>
              <w:rPr>
                <w:rFonts w:ascii="Cambria" w:hAnsi="Cambria"/>
                <w:sz w:val="20"/>
                <w:szCs w:val="20"/>
              </w:rPr>
            </w:pPr>
            <w:r w:rsidRPr="00081FE7">
              <w:rPr>
                <w:rFonts w:ascii="Cambria" w:hAnsi="Cambria"/>
                <w:sz w:val="20"/>
                <w:szCs w:val="20"/>
              </w:rPr>
              <w:t>Establece las orientaciones y los lineamientos para la Rama Ejecutiva del Poder Público, en cumplimiento con lo dispuesto en la Ley 1757 de 2015, a fin de llevar cabo la rendición de cuentas desde el enfoque de los derechos humanos y de paz en la Rama Ejecutiva y otras ramas del poder, del orden nacional y territorial.</w:t>
            </w:r>
          </w:p>
        </w:tc>
      </w:tr>
      <w:tr w:rsidR="004468AC" w:rsidRPr="00081FE7" w:rsidTr="004468AC">
        <w:tc>
          <w:tcPr>
            <w:tcW w:w="1554" w:type="dxa"/>
            <w:vMerge/>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2269" w:type="dxa"/>
            <w:shd w:val="clear" w:color="auto" w:fill="auto"/>
            <w:vAlign w:val="center"/>
          </w:tcPr>
          <w:p w:rsidR="004468AC" w:rsidRPr="00081FE7" w:rsidRDefault="004468AC" w:rsidP="00A03FD7">
            <w:pPr>
              <w:spacing w:line="259" w:lineRule="auto"/>
              <w:ind w:left="-107"/>
              <w:jc w:val="center"/>
              <w:rPr>
                <w:rFonts w:ascii="Cambria" w:hAnsi="Cambria"/>
                <w:sz w:val="20"/>
                <w:szCs w:val="20"/>
              </w:rPr>
            </w:pPr>
            <w:r>
              <w:rPr>
                <w:rFonts w:ascii="Cambria" w:hAnsi="Cambria"/>
                <w:sz w:val="20"/>
                <w:szCs w:val="20"/>
              </w:rPr>
              <w:t>Decreto 230 de 2021</w:t>
            </w:r>
          </w:p>
        </w:tc>
        <w:tc>
          <w:tcPr>
            <w:tcW w:w="1134" w:type="dxa"/>
            <w:shd w:val="clear" w:color="auto" w:fill="auto"/>
            <w:vAlign w:val="center"/>
          </w:tcPr>
          <w:p w:rsidR="004468AC" w:rsidRPr="00081FE7" w:rsidRDefault="004468AC" w:rsidP="00A03FD7">
            <w:pPr>
              <w:spacing w:line="259" w:lineRule="auto"/>
              <w:jc w:val="center"/>
              <w:rPr>
                <w:rFonts w:ascii="Cambria" w:hAnsi="Cambria"/>
                <w:sz w:val="20"/>
                <w:szCs w:val="20"/>
              </w:rPr>
            </w:pPr>
          </w:p>
        </w:tc>
        <w:tc>
          <w:tcPr>
            <w:tcW w:w="5011" w:type="dxa"/>
            <w:shd w:val="clear" w:color="auto" w:fill="auto"/>
            <w:vAlign w:val="center"/>
          </w:tcPr>
          <w:p w:rsidR="004468AC" w:rsidRPr="00081FE7" w:rsidRDefault="006705A9" w:rsidP="00A03FD7">
            <w:pPr>
              <w:spacing w:line="259" w:lineRule="auto"/>
              <w:jc w:val="both"/>
              <w:rPr>
                <w:rFonts w:ascii="Cambria" w:hAnsi="Cambria"/>
                <w:sz w:val="20"/>
                <w:szCs w:val="20"/>
              </w:rPr>
            </w:pPr>
            <w:r>
              <w:rPr>
                <w:rFonts w:ascii="Cambria" w:hAnsi="Cambria"/>
                <w:sz w:val="20"/>
                <w:szCs w:val="20"/>
              </w:rPr>
              <w:t>C</w:t>
            </w:r>
            <w:r w:rsidR="004468AC" w:rsidRPr="00A03FD7">
              <w:rPr>
                <w:rFonts w:ascii="Cambria" w:hAnsi="Cambria"/>
                <w:sz w:val="20"/>
                <w:szCs w:val="20"/>
              </w:rPr>
              <w:t>rea y organiza el Sistema Nacional de Rendición de Cuentas</w:t>
            </w:r>
            <w:r w:rsidR="004468AC">
              <w:rPr>
                <w:rFonts w:ascii="Cambria" w:hAnsi="Cambria"/>
                <w:sz w:val="20"/>
                <w:szCs w:val="20"/>
              </w:rPr>
              <w:t>.</w:t>
            </w:r>
          </w:p>
        </w:tc>
      </w:tr>
      <w:tr w:rsidR="002E2893" w:rsidRPr="00081FE7" w:rsidTr="004468AC">
        <w:tc>
          <w:tcPr>
            <w:tcW w:w="1554" w:type="dxa"/>
            <w:vMerge w:val="restart"/>
            <w:shd w:val="clear" w:color="auto" w:fill="auto"/>
            <w:vAlign w:val="center"/>
          </w:tcPr>
          <w:p w:rsidR="002E2893" w:rsidRPr="00081FE7" w:rsidRDefault="002E2893" w:rsidP="00A03FD7">
            <w:pPr>
              <w:spacing w:line="259" w:lineRule="auto"/>
              <w:jc w:val="center"/>
              <w:rPr>
                <w:rFonts w:ascii="Cambria" w:hAnsi="Cambria"/>
                <w:sz w:val="20"/>
                <w:szCs w:val="20"/>
              </w:rPr>
            </w:pPr>
            <w:r w:rsidRPr="00081FE7">
              <w:rPr>
                <w:rFonts w:ascii="Cambria" w:hAnsi="Cambria"/>
                <w:sz w:val="20"/>
                <w:szCs w:val="20"/>
              </w:rPr>
              <w:t>Transparencia</w:t>
            </w:r>
          </w:p>
          <w:p w:rsidR="002E2893" w:rsidRPr="00081FE7" w:rsidRDefault="002E2893" w:rsidP="00A03FD7">
            <w:pPr>
              <w:spacing w:line="259" w:lineRule="auto"/>
              <w:jc w:val="center"/>
              <w:rPr>
                <w:rFonts w:ascii="Cambria" w:hAnsi="Cambria"/>
                <w:sz w:val="20"/>
                <w:szCs w:val="20"/>
              </w:rPr>
            </w:pPr>
            <w:r w:rsidRPr="00081FE7">
              <w:rPr>
                <w:rFonts w:ascii="Cambria" w:hAnsi="Cambria"/>
                <w:sz w:val="20"/>
                <w:szCs w:val="20"/>
              </w:rPr>
              <w:t>y Acceso a la</w:t>
            </w:r>
          </w:p>
          <w:p w:rsidR="002E2893" w:rsidRPr="00081FE7" w:rsidRDefault="002E2893" w:rsidP="00A03FD7">
            <w:pPr>
              <w:spacing w:line="259" w:lineRule="auto"/>
              <w:jc w:val="center"/>
              <w:rPr>
                <w:rFonts w:ascii="Cambria" w:hAnsi="Cambria"/>
                <w:sz w:val="20"/>
                <w:szCs w:val="20"/>
              </w:rPr>
            </w:pPr>
            <w:r w:rsidRPr="00081FE7">
              <w:rPr>
                <w:rFonts w:ascii="Cambria" w:hAnsi="Cambria"/>
                <w:sz w:val="20"/>
                <w:szCs w:val="20"/>
              </w:rPr>
              <w:t>Información</w:t>
            </w:r>
          </w:p>
        </w:tc>
        <w:tc>
          <w:tcPr>
            <w:tcW w:w="2269" w:type="dxa"/>
            <w:shd w:val="clear" w:color="auto" w:fill="auto"/>
            <w:vAlign w:val="center"/>
          </w:tcPr>
          <w:p w:rsidR="002E2893" w:rsidRPr="00081FE7" w:rsidRDefault="002E2893" w:rsidP="00A03FD7">
            <w:pPr>
              <w:spacing w:line="259" w:lineRule="auto"/>
              <w:ind w:left="-107"/>
              <w:jc w:val="center"/>
              <w:rPr>
                <w:rFonts w:ascii="Cambria" w:hAnsi="Cambria"/>
                <w:sz w:val="20"/>
                <w:szCs w:val="20"/>
              </w:rPr>
            </w:pPr>
            <w:r w:rsidRPr="00081FE7">
              <w:rPr>
                <w:rFonts w:ascii="Cambria" w:hAnsi="Cambria"/>
                <w:sz w:val="20"/>
                <w:szCs w:val="20"/>
              </w:rPr>
              <w:t>Ley 1712 de 2014</w:t>
            </w:r>
          </w:p>
          <w:p w:rsidR="002E2893" w:rsidRPr="00081FE7" w:rsidRDefault="002E2893" w:rsidP="00A03FD7">
            <w:pPr>
              <w:spacing w:line="259" w:lineRule="auto"/>
              <w:ind w:left="-107"/>
              <w:jc w:val="center"/>
              <w:rPr>
                <w:rFonts w:ascii="Cambria" w:hAnsi="Cambria"/>
                <w:sz w:val="20"/>
                <w:szCs w:val="20"/>
              </w:rPr>
            </w:pPr>
            <w:r w:rsidRPr="00081FE7">
              <w:rPr>
                <w:rFonts w:ascii="Cambria" w:hAnsi="Cambria"/>
                <w:sz w:val="20"/>
                <w:szCs w:val="20"/>
              </w:rPr>
              <w:t>Ley de Transparencia y</w:t>
            </w:r>
          </w:p>
          <w:p w:rsidR="002E2893" w:rsidRPr="00081FE7" w:rsidRDefault="002E2893" w:rsidP="00A03FD7">
            <w:pPr>
              <w:spacing w:line="259" w:lineRule="auto"/>
              <w:ind w:left="-107"/>
              <w:jc w:val="center"/>
              <w:rPr>
                <w:rFonts w:ascii="Cambria" w:hAnsi="Cambria"/>
                <w:sz w:val="20"/>
                <w:szCs w:val="20"/>
              </w:rPr>
            </w:pPr>
            <w:r w:rsidRPr="00081FE7">
              <w:rPr>
                <w:rFonts w:ascii="Cambria" w:hAnsi="Cambria"/>
                <w:sz w:val="20"/>
                <w:szCs w:val="20"/>
              </w:rPr>
              <w:t>Acceso a la  Información Pública</w:t>
            </w:r>
          </w:p>
        </w:tc>
        <w:tc>
          <w:tcPr>
            <w:tcW w:w="1134" w:type="dxa"/>
            <w:shd w:val="clear" w:color="auto" w:fill="auto"/>
            <w:vAlign w:val="center"/>
          </w:tcPr>
          <w:p w:rsidR="002E2893" w:rsidRPr="00081FE7" w:rsidRDefault="002E2893" w:rsidP="00A03FD7">
            <w:pPr>
              <w:spacing w:line="259" w:lineRule="auto"/>
              <w:jc w:val="center"/>
              <w:rPr>
                <w:rFonts w:ascii="Cambria" w:hAnsi="Cambria"/>
                <w:sz w:val="20"/>
                <w:szCs w:val="20"/>
              </w:rPr>
            </w:pPr>
            <w:r w:rsidRPr="00081FE7">
              <w:rPr>
                <w:rFonts w:ascii="Cambria" w:hAnsi="Cambria"/>
                <w:sz w:val="20"/>
                <w:szCs w:val="20"/>
              </w:rPr>
              <w:t>Art. 9</w:t>
            </w:r>
          </w:p>
        </w:tc>
        <w:tc>
          <w:tcPr>
            <w:tcW w:w="5011" w:type="dxa"/>
            <w:shd w:val="clear" w:color="auto" w:fill="auto"/>
            <w:vAlign w:val="center"/>
          </w:tcPr>
          <w:p w:rsidR="002E2893" w:rsidRPr="00081FE7" w:rsidRDefault="002E2893" w:rsidP="00A03FD7">
            <w:pPr>
              <w:spacing w:line="259" w:lineRule="auto"/>
              <w:jc w:val="both"/>
              <w:rPr>
                <w:rFonts w:ascii="Cambria" w:hAnsi="Cambria"/>
                <w:sz w:val="20"/>
                <w:szCs w:val="20"/>
              </w:rPr>
            </w:pPr>
            <w:r w:rsidRPr="00081FE7">
              <w:rPr>
                <w:rFonts w:ascii="Cambria" w:hAnsi="Cambria"/>
                <w:sz w:val="20"/>
                <w:szCs w:val="20"/>
              </w:rPr>
              <w:t>Literal g) Deber de publicar en los sistemas de información del Estado o herramientas que lo sustituyan el Plan Anticorrupción y de Atención al Ciudadano.</w:t>
            </w:r>
          </w:p>
        </w:tc>
      </w:tr>
      <w:tr w:rsidR="002E2893" w:rsidRPr="00081FE7" w:rsidTr="004468AC">
        <w:tc>
          <w:tcPr>
            <w:tcW w:w="1554" w:type="dxa"/>
            <w:vMerge/>
            <w:shd w:val="clear" w:color="auto" w:fill="auto"/>
            <w:vAlign w:val="center"/>
          </w:tcPr>
          <w:p w:rsidR="002E2893" w:rsidRPr="00081FE7" w:rsidRDefault="002E2893" w:rsidP="00A03FD7">
            <w:pPr>
              <w:spacing w:line="259" w:lineRule="auto"/>
              <w:jc w:val="center"/>
              <w:rPr>
                <w:rFonts w:ascii="Cambria" w:hAnsi="Cambria"/>
                <w:sz w:val="20"/>
                <w:szCs w:val="20"/>
              </w:rPr>
            </w:pPr>
          </w:p>
        </w:tc>
        <w:tc>
          <w:tcPr>
            <w:tcW w:w="2269" w:type="dxa"/>
            <w:shd w:val="clear" w:color="auto" w:fill="auto"/>
            <w:vAlign w:val="center"/>
          </w:tcPr>
          <w:p w:rsidR="002E2893" w:rsidRPr="00081FE7" w:rsidRDefault="002E2893" w:rsidP="004468AC">
            <w:pPr>
              <w:spacing w:line="259" w:lineRule="auto"/>
              <w:ind w:left="-107"/>
              <w:jc w:val="center"/>
              <w:rPr>
                <w:rFonts w:ascii="Cambria" w:hAnsi="Cambria"/>
                <w:sz w:val="20"/>
                <w:szCs w:val="20"/>
              </w:rPr>
            </w:pPr>
            <w:r>
              <w:rPr>
                <w:rFonts w:ascii="Cambria" w:hAnsi="Cambria"/>
                <w:sz w:val="20"/>
                <w:szCs w:val="20"/>
              </w:rPr>
              <w:t xml:space="preserve">Ley 2195 de 2022 </w:t>
            </w:r>
            <w:r w:rsidRPr="004468AC">
              <w:rPr>
                <w:rFonts w:ascii="Cambria" w:hAnsi="Cambria"/>
                <w:sz w:val="20"/>
                <w:szCs w:val="20"/>
              </w:rPr>
              <w:t>Modifica el Artículo 73 de la Ley 1474 de 2011</w:t>
            </w:r>
          </w:p>
        </w:tc>
        <w:tc>
          <w:tcPr>
            <w:tcW w:w="1134" w:type="dxa"/>
            <w:shd w:val="clear" w:color="auto" w:fill="auto"/>
            <w:vAlign w:val="center"/>
          </w:tcPr>
          <w:p w:rsidR="002E2893" w:rsidRPr="00081FE7" w:rsidRDefault="002E2893" w:rsidP="004468AC">
            <w:pPr>
              <w:spacing w:line="259" w:lineRule="auto"/>
              <w:jc w:val="center"/>
              <w:rPr>
                <w:rFonts w:ascii="Cambria" w:hAnsi="Cambria"/>
                <w:sz w:val="20"/>
                <w:szCs w:val="20"/>
              </w:rPr>
            </w:pPr>
            <w:r>
              <w:rPr>
                <w:rFonts w:ascii="Cambria" w:hAnsi="Cambria"/>
                <w:sz w:val="20"/>
                <w:szCs w:val="20"/>
              </w:rPr>
              <w:t>Art. 31</w:t>
            </w:r>
          </w:p>
        </w:tc>
        <w:tc>
          <w:tcPr>
            <w:tcW w:w="5011" w:type="dxa"/>
            <w:shd w:val="clear" w:color="auto" w:fill="auto"/>
            <w:vAlign w:val="center"/>
          </w:tcPr>
          <w:p w:rsidR="002E2893" w:rsidRPr="00081FE7" w:rsidRDefault="002E2893" w:rsidP="004468AC">
            <w:pPr>
              <w:spacing w:line="259" w:lineRule="auto"/>
              <w:jc w:val="both"/>
              <w:rPr>
                <w:rFonts w:ascii="Cambria" w:hAnsi="Cambria"/>
                <w:sz w:val="20"/>
                <w:szCs w:val="20"/>
              </w:rPr>
            </w:pPr>
            <w:r>
              <w:rPr>
                <w:rFonts w:ascii="Cambria" w:hAnsi="Cambria"/>
                <w:sz w:val="20"/>
                <w:szCs w:val="20"/>
              </w:rPr>
              <w:t>P</w:t>
            </w:r>
            <w:r w:rsidRPr="004468AC">
              <w:rPr>
                <w:rFonts w:ascii="Cambria" w:hAnsi="Cambria"/>
                <w:sz w:val="20"/>
                <w:szCs w:val="20"/>
              </w:rPr>
              <w:t xml:space="preserve">rogramas de transparencia y </w:t>
            </w:r>
            <w:r>
              <w:rPr>
                <w:rFonts w:ascii="Cambria" w:hAnsi="Cambria"/>
                <w:sz w:val="20"/>
                <w:szCs w:val="20"/>
              </w:rPr>
              <w:t>é</w:t>
            </w:r>
            <w:r w:rsidRPr="004468AC">
              <w:rPr>
                <w:rFonts w:ascii="Cambria" w:hAnsi="Cambria"/>
                <w:sz w:val="20"/>
                <w:szCs w:val="20"/>
              </w:rPr>
              <w:t>tica en el sector p</w:t>
            </w:r>
            <w:r>
              <w:rPr>
                <w:rFonts w:ascii="Cambria" w:hAnsi="Cambria"/>
                <w:sz w:val="20"/>
                <w:szCs w:val="20"/>
              </w:rPr>
              <w:t>ú</w:t>
            </w:r>
            <w:r w:rsidRPr="004468AC">
              <w:rPr>
                <w:rFonts w:ascii="Cambria" w:hAnsi="Cambria"/>
                <w:sz w:val="20"/>
                <w:szCs w:val="20"/>
              </w:rPr>
              <w:t>blico</w:t>
            </w:r>
            <w:r>
              <w:rPr>
                <w:rFonts w:ascii="Cambria" w:hAnsi="Cambria"/>
                <w:sz w:val="20"/>
                <w:szCs w:val="20"/>
              </w:rPr>
              <w:t xml:space="preserve">. </w:t>
            </w:r>
          </w:p>
        </w:tc>
      </w:tr>
      <w:tr w:rsidR="006705A9" w:rsidRPr="00081FE7" w:rsidTr="004468AC">
        <w:tc>
          <w:tcPr>
            <w:tcW w:w="1554" w:type="dxa"/>
            <w:vMerge/>
            <w:shd w:val="clear" w:color="auto" w:fill="auto"/>
            <w:vAlign w:val="center"/>
          </w:tcPr>
          <w:p w:rsidR="006705A9" w:rsidRPr="00081FE7" w:rsidRDefault="006705A9" w:rsidP="00A03FD7">
            <w:pPr>
              <w:spacing w:line="259" w:lineRule="auto"/>
              <w:jc w:val="center"/>
              <w:rPr>
                <w:rFonts w:ascii="Cambria" w:hAnsi="Cambria"/>
                <w:sz w:val="20"/>
                <w:szCs w:val="20"/>
              </w:rPr>
            </w:pPr>
          </w:p>
        </w:tc>
        <w:tc>
          <w:tcPr>
            <w:tcW w:w="2269" w:type="dxa"/>
            <w:shd w:val="clear" w:color="auto" w:fill="auto"/>
            <w:vAlign w:val="center"/>
          </w:tcPr>
          <w:p w:rsidR="006705A9" w:rsidRDefault="006705A9" w:rsidP="004468AC">
            <w:pPr>
              <w:spacing w:line="259" w:lineRule="auto"/>
              <w:ind w:left="-107"/>
              <w:jc w:val="center"/>
              <w:rPr>
                <w:rFonts w:ascii="Cambria" w:hAnsi="Cambria"/>
                <w:sz w:val="20"/>
                <w:szCs w:val="20"/>
              </w:rPr>
            </w:pPr>
            <w:r>
              <w:rPr>
                <w:rFonts w:ascii="Cambria" w:hAnsi="Cambria"/>
                <w:sz w:val="20"/>
                <w:szCs w:val="20"/>
              </w:rPr>
              <w:t>Decreto 4637 de 2011</w:t>
            </w:r>
          </w:p>
        </w:tc>
        <w:tc>
          <w:tcPr>
            <w:tcW w:w="1134" w:type="dxa"/>
            <w:shd w:val="clear" w:color="auto" w:fill="auto"/>
            <w:vAlign w:val="center"/>
          </w:tcPr>
          <w:p w:rsidR="006705A9" w:rsidRDefault="006705A9" w:rsidP="004468AC">
            <w:pPr>
              <w:spacing w:line="259" w:lineRule="auto"/>
              <w:jc w:val="center"/>
              <w:rPr>
                <w:rFonts w:ascii="Cambria" w:hAnsi="Cambria"/>
                <w:sz w:val="20"/>
                <w:szCs w:val="20"/>
              </w:rPr>
            </w:pPr>
            <w:r>
              <w:rPr>
                <w:rFonts w:ascii="Cambria" w:hAnsi="Cambria"/>
                <w:sz w:val="20"/>
                <w:szCs w:val="20"/>
              </w:rPr>
              <w:t>Art. 4</w:t>
            </w:r>
          </w:p>
        </w:tc>
        <w:tc>
          <w:tcPr>
            <w:tcW w:w="5011" w:type="dxa"/>
            <w:shd w:val="clear" w:color="auto" w:fill="auto"/>
            <w:vAlign w:val="center"/>
          </w:tcPr>
          <w:p w:rsidR="006705A9" w:rsidRDefault="006705A9" w:rsidP="004468AC">
            <w:pPr>
              <w:spacing w:line="259" w:lineRule="auto"/>
              <w:jc w:val="both"/>
              <w:rPr>
                <w:rFonts w:ascii="Cambria" w:hAnsi="Cambria"/>
                <w:sz w:val="20"/>
                <w:szCs w:val="20"/>
              </w:rPr>
            </w:pPr>
            <w:r w:rsidRPr="006705A9">
              <w:rPr>
                <w:rFonts w:ascii="Cambria" w:hAnsi="Cambria"/>
                <w:sz w:val="20"/>
                <w:szCs w:val="20"/>
              </w:rPr>
              <w:t>Crea la Secretaría de Transparencia en el Departamento Administrativo de la Presidencia de la República</w:t>
            </w:r>
            <w:r>
              <w:rPr>
                <w:rFonts w:ascii="Cambria" w:hAnsi="Cambria"/>
                <w:sz w:val="20"/>
                <w:szCs w:val="20"/>
              </w:rPr>
              <w:t>.</w:t>
            </w:r>
          </w:p>
        </w:tc>
      </w:tr>
      <w:tr w:rsidR="002E2893" w:rsidRPr="00081FE7" w:rsidTr="004468AC">
        <w:tc>
          <w:tcPr>
            <w:tcW w:w="1554" w:type="dxa"/>
            <w:vMerge/>
            <w:shd w:val="clear" w:color="auto" w:fill="auto"/>
            <w:vAlign w:val="center"/>
          </w:tcPr>
          <w:p w:rsidR="002E2893" w:rsidRPr="00081FE7" w:rsidRDefault="002E2893" w:rsidP="00A03FD7">
            <w:pPr>
              <w:spacing w:line="259" w:lineRule="auto"/>
              <w:jc w:val="center"/>
              <w:rPr>
                <w:rFonts w:ascii="Cambria" w:hAnsi="Cambria"/>
                <w:sz w:val="20"/>
                <w:szCs w:val="20"/>
              </w:rPr>
            </w:pPr>
          </w:p>
        </w:tc>
        <w:tc>
          <w:tcPr>
            <w:tcW w:w="2269" w:type="dxa"/>
            <w:shd w:val="clear" w:color="auto" w:fill="auto"/>
            <w:vAlign w:val="center"/>
          </w:tcPr>
          <w:p w:rsidR="002E2893" w:rsidRDefault="002E2893" w:rsidP="004468AC">
            <w:pPr>
              <w:spacing w:line="259" w:lineRule="auto"/>
              <w:ind w:left="-107"/>
              <w:jc w:val="center"/>
              <w:rPr>
                <w:rFonts w:ascii="Cambria" w:hAnsi="Cambria"/>
                <w:sz w:val="20"/>
                <w:szCs w:val="20"/>
              </w:rPr>
            </w:pPr>
            <w:r>
              <w:rPr>
                <w:rFonts w:ascii="Cambria" w:hAnsi="Cambria"/>
                <w:sz w:val="20"/>
                <w:szCs w:val="20"/>
              </w:rPr>
              <w:t>Resolución 1519 de 2020</w:t>
            </w:r>
          </w:p>
        </w:tc>
        <w:tc>
          <w:tcPr>
            <w:tcW w:w="1134" w:type="dxa"/>
            <w:shd w:val="clear" w:color="auto" w:fill="auto"/>
            <w:vAlign w:val="center"/>
          </w:tcPr>
          <w:p w:rsidR="002E2893" w:rsidRDefault="002E2893" w:rsidP="004468AC">
            <w:pPr>
              <w:spacing w:line="259" w:lineRule="auto"/>
              <w:jc w:val="center"/>
              <w:rPr>
                <w:rFonts w:ascii="Cambria" w:hAnsi="Cambria"/>
                <w:sz w:val="20"/>
                <w:szCs w:val="20"/>
              </w:rPr>
            </w:pPr>
          </w:p>
        </w:tc>
        <w:tc>
          <w:tcPr>
            <w:tcW w:w="5011" w:type="dxa"/>
            <w:shd w:val="clear" w:color="auto" w:fill="auto"/>
            <w:vAlign w:val="center"/>
          </w:tcPr>
          <w:p w:rsidR="002E2893" w:rsidRDefault="002E2893" w:rsidP="002E2893">
            <w:pPr>
              <w:spacing w:line="259" w:lineRule="auto"/>
              <w:jc w:val="both"/>
              <w:rPr>
                <w:rFonts w:ascii="Cambria" w:hAnsi="Cambria"/>
                <w:sz w:val="20"/>
                <w:szCs w:val="20"/>
              </w:rPr>
            </w:pPr>
            <w:r>
              <w:rPr>
                <w:rFonts w:ascii="Cambria" w:hAnsi="Cambria"/>
                <w:sz w:val="20"/>
                <w:szCs w:val="20"/>
              </w:rPr>
              <w:t>Define</w:t>
            </w:r>
            <w:r w:rsidRPr="002E2893">
              <w:rPr>
                <w:rFonts w:ascii="Cambria" w:hAnsi="Cambria"/>
                <w:sz w:val="20"/>
                <w:szCs w:val="20"/>
              </w:rPr>
              <w:t xml:space="preserve"> los estándares y directrices para publicar la información señalada en la Ley 1712 del 2014 y se definen los requisitos </w:t>
            </w:r>
            <w:r>
              <w:rPr>
                <w:rFonts w:ascii="Cambria" w:hAnsi="Cambria"/>
                <w:sz w:val="20"/>
                <w:szCs w:val="20"/>
              </w:rPr>
              <w:t xml:space="preserve">en </w:t>
            </w:r>
            <w:r w:rsidRPr="002E2893">
              <w:rPr>
                <w:rFonts w:ascii="Cambria" w:hAnsi="Cambria"/>
                <w:sz w:val="20"/>
                <w:szCs w:val="20"/>
              </w:rPr>
              <w:t>materia de acceso a la información pública, accesibilidad web, seguridad digital y datos abiertos.</w:t>
            </w:r>
          </w:p>
        </w:tc>
      </w:tr>
      <w:tr w:rsidR="00D71323" w:rsidRPr="00081FE7" w:rsidTr="004468AC">
        <w:tc>
          <w:tcPr>
            <w:tcW w:w="1554" w:type="dxa"/>
            <w:vMerge w:val="restart"/>
            <w:shd w:val="clear" w:color="auto" w:fill="auto"/>
            <w:vAlign w:val="center"/>
          </w:tcPr>
          <w:p w:rsidR="00D71323" w:rsidRPr="00081FE7" w:rsidRDefault="00D71323" w:rsidP="00A03FD7">
            <w:pPr>
              <w:spacing w:line="259" w:lineRule="auto"/>
              <w:jc w:val="center"/>
              <w:rPr>
                <w:rFonts w:ascii="Cambria" w:hAnsi="Cambria"/>
                <w:sz w:val="20"/>
                <w:szCs w:val="20"/>
              </w:rPr>
            </w:pPr>
            <w:r w:rsidRPr="00081FE7">
              <w:rPr>
                <w:rFonts w:ascii="Cambria" w:hAnsi="Cambria"/>
                <w:sz w:val="20"/>
                <w:szCs w:val="20"/>
              </w:rPr>
              <w:t>Atención de Peticiones, Quejas,  Reclamos, Sugerencias y</w:t>
            </w:r>
          </w:p>
          <w:p w:rsidR="00D71323" w:rsidRPr="00081FE7" w:rsidRDefault="00D71323" w:rsidP="00A03FD7">
            <w:pPr>
              <w:spacing w:line="259" w:lineRule="auto"/>
              <w:jc w:val="center"/>
              <w:rPr>
                <w:rFonts w:ascii="Cambria" w:hAnsi="Cambria"/>
                <w:sz w:val="20"/>
                <w:szCs w:val="20"/>
              </w:rPr>
            </w:pPr>
            <w:r w:rsidRPr="00081FE7">
              <w:rPr>
                <w:rFonts w:ascii="Cambria" w:hAnsi="Cambria"/>
                <w:sz w:val="20"/>
                <w:szCs w:val="20"/>
              </w:rPr>
              <w:t>Denuncias</w:t>
            </w:r>
          </w:p>
        </w:tc>
        <w:tc>
          <w:tcPr>
            <w:tcW w:w="2269" w:type="dxa"/>
            <w:shd w:val="clear" w:color="auto" w:fill="auto"/>
            <w:vAlign w:val="center"/>
          </w:tcPr>
          <w:p w:rsidR="00D71323" w:rsidRPr="00081FE7" w:rsidRDefault="00D71323" w:rsidP="00A03FD7">
            <w:pPr>
              <w:spacing w:line="259" w:lineRule="auto"/>
              <w:ind w:left="-107"/>
              <w:jc w:val="center"/>
              <w:rPr>
                <w:rFonts w:ascii="Cambria" w:hAnsi="Cambria"/>
                <w:sz w:val="20"/>
                <w:szCs w:val="20"/>
              </w:rPr>
            </w:pPr>
            <w:r w:rsidRPr="00081FE7">
              <w:rPr>
                <w:rFonts w:ascii="Cambria" w:hAnsi="Cambria"/>
                <w:sz w:val="20"/>
                <w:szCs w:val="20"/>
              </w:rPr>
              <w:t>Ley 1474 de 2011</w:t>
            </w:r>
          </w:p>
          <w:p w:rsidR="00D71323" w:rsidRPr="00081FE7" w:rsidRDefault="00D71323" w:rsidP="00A03FD7">
            <w:pPr>
              <w:spacing w:line="259" w:lineRule="auto"/>
              <w:ind w:left="-107"/>
              <w:jc w:val="center"/>
              <w:rPr>
                <w:rFonts w:ascii="Cambria" w:hAnsi="Cambria"/>
                <w:sz w:val="20"/>
                <w:szCs w:val="20"/>
              </w:rPr>
            </w:pPr>
            <w:r w:rsidRPr="00081FE7">
              <w:rPr>
                <w:rFonts w:ascii="Cambria" w:hAnsi="Cambria"/>
                <w:sz w:val="20"/>
                <w:szCs w:val="20"/>
              </w:rPr>
              <w:t>Estatuto Anticorrupción</w:t>
            </w:r>
          </w:p>
        </w:tc>
        <w:tc>
          <w:tcPr>
            <w:tcW w:w="1134" w:type="dxa"/>
            <w:shd w:val="clear" w:color="auto" w:fill="auto"/>
            <w:vAlign w:val="center"/>
          </w:tcPr>
          <w:p w:rsidR="00D71323" w:rsidRPr="00081FE7" w:rsidRDefault="00D71323" w:rsidP="00A03FD7">
            <w:pPr>
              <w:spacing w:line="259" w:lineRule="auto"/>
              <w:jc w:val="center"/>
              <w:rPr>
                <w:rFonts w:ascii="Cambria" w:hAnsi="Cambria"/>
                <w:sz w:val="20"/>
                <w:szCs w:val="20"/>
              </w:rPr>
            </w:pPr>
            <w:r w:rsidRPr="00081FE7">
              <w:rPr>
                <w:rFonts w:ascii="Cambria" w:hAnsi="Cambria"/>
                <w:sz w:val="20"/>
                <w:szCs w:val="20"/>
              </w:rPr>
              <w:t>Art. 76</w:t>
            </w:r>
          </w:p>
        </w:tc>
        <w:tc>
          <w:tcPr>
            <w:tcW w:w="5011" w:type="dxa"/>
            <w:shd w:val="clear" w:color="auto" w:fill="auto"/>
            <w:vAlign w:val="center"/>
          </w:tcPr>
          <w:p w:rsidR="00D71323" w:rsidRPr="00081FE7" w:rsidRDefault="00D71323" w:rsidP="00A03FD7">
            <w:pPr>
              <w:spacing w:line="259" w:lineRule="auto"/>
              <w:jc w:val="both"/>
              <w:rPr>
                <w:rFonts w:ascii="Cambria" w:hAnsi="Cambria"/>
                <w:sz w:val="20"/>
                <w:szCs w:val="20"/>
              </w:rPr>
            </w:pPr>
            <w:r w:rsidRPr="00081FE7">
              <w:rPr>
                <w:rFonts w:ascii="Cambria" w:hAnsi="Cambria"/>
                <w:b/>
                <w:sz w:val="20"/>
                <w:szCs w:val="20"/>
              </w:rPr>
              <w:t>Oficina de Quejas, Sugerencias y Reclamos:</w:t>
            </w:r>
            <w:r w:rsidRPr="00081FE7">
              <w:rPr>
                <w:rFonts w:ascii="Cambria" w:hAnsi="Cambria"/>
                <w:sz w:val="20"/>
                <w:szCs w:val="20"/>
              </w:rPr>
              <w:t xml:space="preserve"> </w:t>
            </w:r>
            <w:r>
              <w:rPr>
                <w:rFonts w:ascii="Cambria" w:hAnsi="Cambria"/>
                <w:sz w:val="20"/>
                <w:szCs w:val="20"/>
              </w:rPr>
              <w:t>e</w:t>
            </w:r>
            <w:r w:rsidRPr="00081FE7">
              <w:rPr>
                <w:rFonts w:ascii="Cambria" w:hAnsi="Cambria"/>
                <w:sz w:val="20"/>
                <w:szCs w:val="20"/>
              </w:rPr>
              <w:t>n toda entidad pública, deberá existir por lo menos una dependencia encargada de recibir, tramitar y resolver las quejas, sugerencias y reclamos que los ciudadanos formulen, y que se relacionen con el cumplimiento de la misión de la entidad.</w:t>
            </w:r>
          </w:p>
        </w:tc>
      </w:tr>
      <w:tr w:rsidR="00D71323" w:rsidRPr="00081FE7" w:rsidTr="004468AC">
        <w:tc>
          <w:tcPr>
            <w:tcW w:w="1554" w:type="dxa"/>
            <w:vMerge/>
            <w:shd w:val="clear" w:color="auto" w:fill="auto"/>
            <w:vAlign w:val="center"/>
          </w:tcPr>
          <w:p w:rsidR="00D71323" w:rsidRPr="00081FE7" w:rsidRDefault="00D71323" w:rsidP="00A03FD7">
            <w:pPr>
              <w:spacing w:line="259" w:lineRule="auto"/>
              <w:jc w:val="center"/>
              <w:rPr>
                <w:rFonts w:ascii="Cambria" w:hAnsi="Cambria"/>
                <w:sz w:val="20"/>
                <w:szCs w:val="20"/>
              </w:rPr>
            </w:pPr>
          </w:p>
        </w:tc>
        <w:tc>
          <w:tcPr>
            <w:tcW w:w="2269" w:type="dxa"/>
            <w:shd w:val="clear" w:color="auto" w:fill="auto"/>
            <w:vAlign w:val="center"/>
          </w:tcPr>
          <w:p w:rsidR="00D71323" w:rsidRPr="00081FE7" w:rsidRDefault="00D71323" w:rsidP="00A03FD7">
            <w:pPr>
              <w:spacing w:line="259" w:lineRule="auto"/>
              <w:ind w:left="-107"/>
              <w:jc w:val="center"/>
              <w:rPr>
                <w:rFonts w:ascii="Cambria" w:hAnsi="Cambria"/>
                <w:sz w:val="20"/>
                <w:szCs w:val="20"/>
              </w:rPr>
            </w:pPr>
            <w:r w:rsidRPr="00081FE7">
              <w:rPr>
                <w:rFonts w:ascii="Cambria" w:hAnsi="Cambria"/>
                <w:sz w:val="20"/>
                <w:szCs w:val="20"/>
              </w:rPr>
              <w:t>Decreto 1649 de 2014 Modificación de la estructura del DAPRE</w:t>
            </w:r>
          </w:p>
        </w:tc>
        <w:tc>
          <w:tcPr>
            <w:tcW w:w="1134" w:type="dxa"/>
            <w:shd w:val="clear" w:color="auto" w:fill="auto"/>
            <w:vAlign w:val="center"/>
          </w:tcPr>
          <w:p w:rsidR="00D71323" w:rsidRPr="00081FE7" w:rsidRDefault="00D71323" w:rsidP="00A03FD7">
            <w:pPr>
              <w:spacing w:line="259" w:lineRule="auto"/>
              <w:jc w:val="center"/>
              <w:rPr>
                <w:rFonts w:ascii="Cambria" w:hAnsi="Cambria"/>
                <w:sz w:val="20"/>
                <w:szCs w:val="20"/>
              </w:rPr>
            </w:pPr>
            <w:r w:rsidRPr="00081FE7">
              <w:rPr>
                <w:rFonts w:ascii="Cambria" w:hAnsi="Cambria"/>
                <w:sz w:val="20"/>
                <w:szCs w:val="20"/>
              </w:rPr>
              <w:t>Art .15</w:t>
            </w:r>
          </w:p>
        </w:tc>
        <w:tc>
          <w:tcPr>
            <w:tcW w:w="5011" w:type="dxa"/>
            <w:shd w:val="clear" w:color="auto" w:fill="auto"/>
            <w:vAlign w:val="center"/>
          </w:tcPr>
          <w:p w:rsidR="00D71323" w:rsidRPr="00081FE7" w:rsidRDefault="00D71323" w:rsidP="0087340E">
            <w:pPr>
              <w:spacing w:line="259" w:lineRule="auto"/>
              <w:jc w:val="both"/>
              <w:rPr>
                <w:rFonts w:ascii="Cambria" w:hAnsi="Cambria"/>
                <w:sz w:val="20"/>
                <w:szCs w:val="20"/>
              </w:rPr>
            </w:pPr>
            <w:r w:rsidRPr="00081FE7">
              <w:rPr>
                <w:rFonts w:ascii="Cambria" w:hAnsi="Cambria"/>
                <w:b/>
                <w:sz w:val="20"/>
                <w:szCs w:val="20"/>
              </w:rPr>
              <w:t>Funciones de la Secretaría de Transparencia:</w:t>
            </w:r>
            <w:r w:rsidRPr="00081FE7">
              <w:rPr>
                <w:rFonts w:ascii="Cambria" w:hAnsi="Cambria"/>
                <w:sz w:val="20"/>
                <w:szCs w:val="20"/>
              </w:rPr>
              <w:t xml:space="preserve"> 14.) Señalar los estándares que deben tener en cuenta las entidades públicas para la organización de las unidades o dependencias de quejas, sugerencias y reclamos y conocer directamente de las quejas, sugerencias y reclamos que, por su gravedad, sean puestas en su conocimiento por el jefe o coordinador de la unidad o grupo de control interno disciplinario de cada entidad.  </w:t>
            </w:r>
          </w:p>
        </w:tc>
      </w:tr>
      <w:tr w:rsidR="00D71323" w:rsidRPr="00081FE7" w:rsidTr="004468AC">
        <w:tc>
          <w:tcPr>
            <w:tcW w:w="1554" w:type="dxa"/>
            <w:vMerge/>
            <w:shd w:val="clear" w:color="auto" w:fill="auto"/>
            <w:vAlign w:val="center"/>
          </w:tcPr>
          <w:p w:rsidR="00D71323" w:rsidRPr="00081FE7" w:rsidRDefault="00D71323" w:rsidP="00A03FD7">
            <w:pPr>
              <w:spacing w:line="259" w:lineRule="auto"/>
              <w:jc w:val="center"/>
              <w:rPr>
                <w:rFonts w:ascii="Cambria" w:hAnsi="Cambria"/>
                <w:sz w:val="20"/>
                <w:szCs w:val="20"/>
              </w:rPr>
            </w:pPr>
          </w:p>
        </w:tc>
        <w:tc>
          <w:tcPr>
            <w:tcW w:w="2269" w:type="dxa"/>
            <w:shd w:val="clear" w:color="auto" w:fill="auto"/>
            <w:vAlign w:val="center"/>
          </w:tcPr>
          <w:p w:rsidR="00D71323" w:rsidRPr="00081FE7" w:rsidRDefault="00D71323" w:rsidP="00A03FD7">
            <w:pPr>
              <w:spacing w:line="259" w:lineRule="auto"/>
              <w:ind w:left="-107"/>
              <w:jc w:val="center"/>
              <w:rPr>
                <w:rFonts w:ascii="Cambria" w:hAnsi="Cambria"/>
                <w:sz w:val="20"/>
                <w:szCs w:val="20"/>
              </w:rPr>
            </w:pPr>
            <w:r w:rsidRPr="00081FE7">
              <w:rPr>
                <w:rFonts w:ascii="Cambria" w:hAnsi="Cambria"/>
                <w:sz w:val="20"/>
                <w:szCs w:val="20"/>
              </w:rPr>
              <w:t>Ley 1755 de 2015</w:t>
            </w:r>
          </w:p>
          <w:p w:rsidR="00D71323" w:rsidRPr="00081FE7" w:rsidRDefault="00D71323" w:rsidP="00A03FD7">
            <w:pPr>
              <w:spacing w:line="259" w:lineRule="auto"/>
              <w:ind w:left="-107"/>
              <w:jc w:val="center"/>
              <w:rPr>
                <w:rFonts w:ascii="Cambria" w:hAnsi="Cambria"/>
                <w:sz w:val="20"/>
                <w:szCs w:val="20"/>
              </w:rPr>
            </w:pPr>
            <w:r w:rsidRPr="00081FE7">
              <w:rPr>
                <w:rFonts w:ascii="Cambria" w:hAnsi="Cambria"/>
                <w:sz w:val="20"/>
                <w:szCs w:val="20"/>
              </w:rPr>
              <w:t>Derecho fundamental de</w:t>
            </w:r>
          </w:p>
          <w:p w:rsidR="00D71323" w:rsidRPr="00081FE7" w:rsidRDefault="00D71323" w:rsidP="00A03FD7">
            <w:pPr>
              <w:spacing w:line="259" w:lineRule="auto"/>
              <w:ind w:left="-107"/>
              <w:jc w:val="center"/>
              <w:rPr>
                <w:rFonts w:ascii="Cambria" w:hAnsi="Cambria"/>
                <w:sz w:val="20"/>
                <w:szCs w:val="20"/>
              </w:rPr>
            </w:pPr>
            <w:r w:rsidRPr="00081FE7">
              <w:rPr>
                <w:rFonts w:ascii="Cambria" w:hAnsi="Cambria"/>
                <w:sz w:val="20"/>
                <w:szCs w:val="20"/>
              </w:rPr>
              <w:t>Petición</w:t>
            </w:r>
          </w:p>
        </w:tc>
        <w:tc>
          <w:tcPr>
            <w:tcW w:w="1134" w:type="dxa"/>
            <w:shd w:val="clear" w:color="auto" w:fill="auto"/>
            <w:vAlign w:val="center"/>
          </w:tcPr>
          <w:p w:rsidR="00D71323" w:rsidRPr="00081FE7" w:rsidRDefault="00D71323" w:rsidP="00A03FD7">
            <w:pPr>
              <w:spacing w:line="259" w:lineRule="auto"/>
              <w:jc w:val="center"/>
              <w:rPr>
                <w:rFonts w:ascii="Cambria" w:hAnsi="Cambria"/>
                <w:sz w:val="20"/>
                <w:szCs w:val="20"/>
              </w:rPr>
            </w:pPr>
            <w:r w:rsidRPr="00081FE7">
              <w:rPr>
                <w:rFonts w:ascii="Cambria" w:hAnsi="Cambria"/>
                <w:sz w:val="20"/>
                <w:szCs w:val="20"/>
              </w:rPr>
              <w:t>Art. 1°</w:t>
            </w:r>
          </w:p>
        </w:tc>
        <w:tc>
          <w:tcPr>
            <w:tcW w:w="5011" w:type="dxa"/>
            <w:shd w:val="clear" w:color="auto" w:fill="auto"/>
            <w:vAlign w:val="center"/>
          </w:tcPr>
          <w:p w:rsidR="00D71323" w:rsidRPr="00081FE7" w:rsidRDefault="00D71323" w:rsidP="0087340E">
            <w:pPr>
              <w:spacing w:line="259" w:lineRule="auto"/>
              <w:jc w:val="both"/>
              <w:rPr>
                <w:rFonts w:ascii="Cambria" w:hAnsi="Cambria"/>
                <w:sz w:val="20"/>
                <w:szCs w:val="20"/>
              </w:rPr>
            </w:pPr>
            <w:r w:rsidRPr="00081FE7">
              <w:rPr>
                <w:rFonts w:ascii="Cambria" w:hAnsi="Cambria"/>
                <w:sz w:val="20"/>
                <w:szCs w:val="20"/>
              </w:rPr>
              <w:t>Regula el Derecho Fundamental de Petición y se sustituye un título del Código de Procedimiento Administrativo y de lo Contencioso Administrativo.</w:t>
            </w:r>
          </w:p>
        </w:tc>
      </w:tr>
      <w:tr w:rsidR="00D71323" w:rsidRPr="00081FE7" w:rsidTr="004468AC">
        <w:tc>
          <w:tcPr>
            <w:tcW w:w="1554" w:type="dxa"/>
            <w:vMerge/>
            <w:shd w:val="clear" w:color="auto" w:fill="auto"/>
            <w:vAlign w:val="center"/>
          </w:tcPr>
          <w:p w:rsidR="00D71323" w:rsidRPr="00081FE7" w:rsidRDefault="00D71323" w:rsidP="00A03FD7">
            <w:pPr>
              <w:spacing w:line="259" w:lineRule="auto"/>
              <w:jc w:val="center"/>
              <w:rPr>
                <w:rFonts w:ascii="Cambria" w:hAnsi="Cambria"/>
                <w:sz w:val="20"/>
                <w:szCs w:val="20"/>
              </w:rPr>
            </w:pPr>
          </w:p>
        </w:tc>
        <w:tc>
          <w:tcPr>
            <w:tcW w:w="2269" w:type="dxa"/>
            <w:shd w:val="clear" w:color="auto" w:fill="auto"/>
            <w:vAlign w:val="center"/>
          </w:tcPr>
          <w:p w:rsidR="00D71323" w:rsidRPr="00081FE7" w:rsidRDefault="00D71323" w:rsidP="00A03FD7">
            <w:pPr>
              <w:spacing w:line="259" w:lineRule="auto"/>
              <w:ind w:left="-107"/>
              <w:jc w:val="center"/>
              <w:rPr>
                <w:rFonts w:ascii="Cambria" w:hAnsi="Cambria"/>
                <w:sz w:val="20"/>
                <w:szCs w:val="20"/>
              </w:rPr>
            </w:pPr>
            <w:r w:rsidRPr="00081FE7">
              <w:rPr>
                <w:rFonts w:ascii="Cambria" w:hAnsi="Cambria"/>
                <w:sz w:val="20"/>
                <w:szCs w:val="20"/>
              </w:rPr>
              <w:t>Decreto 1166 de 2016</w:t>
            </w:r>
          </w:p>
        </w:tc>
        <w:tc>
          <w:tcPr>
            <w:tcW w:w="1134" w:type="dxa"/>
            <w:shd w:val="clear" w:color="auto" w:fill="auto"/>
            <w:vAlign w:val="center"/>
          </w:tcPr>
          <w:p w:rsidR="00D71323" w:rsidRPr="00081FE7" w:rsidRDefault="00D71323" w:rsidP="00A03FD7">
            <w:pPr>
              <w:spacing w:line="259" w:lineRule="auto"/>
              <w:jc w:val="center"/>
              <w:rPr>
                <w:rFonts w:ascii="Cambria" w:hAnsi="Cambria"/>
                <w:sz w:val="20"/>
                <w:szCs w:val="20"/>
              </w:rPr>
            </w:pPr>
            <w:r w:rsidRPr="00081FE7">
              <w:rPr>
                <w:rFonts w:ascii="Cambria" w:hAnsi="Cambria"/>
                <w:sz w:val="20"/>
                <w:szCs w:val="20"/>
              </w:rPr>
              <w:t>Todo</w:t>
            </w:r>
          </w:p>
        </w:tc>
        <w:tc>
          <w:tcPr>
            <w:tcW w:w="5011" w:type="dxa"/>
            <w:shd w:val="clear" w:color="auto" w:fill="auto"/>
            <w:vAlign w:val="center"/>
          </w:tcPr>
          <w:p w:rsidR="00D71323" w:rsidRPr="00081FE7" w:rsidRDefault="00D71323" w:rsidP="0087340E">
            <w:pPr>
              <w:spacing w:line="259" w:lineRule="auto"/>
              <w:jc w:val="both"/>
              <w:rPr>
                <w:rFonts w:ascii="Cambria" w:hAnsi="Cambria"/>
                <w:sz w:val="20"/>
                <w:szCs w:val="20"/>
              </w:rPr>
            </w:pPr>
            <w:r w:rsidRPr="00081FE7">
              <w:rPr>
                <w:rFonts w:ascii="Cambria" w:hAnsi="Cambria"/>
                <w:sz w:val="20"/>
                <w:szCs w:val="20"/>
              </w:rPr>
              <w:t>Por el cual se adiciona el capítulo 12 al Título 3 de la Parte 2 del Libro 2 del Decreto 1069 de 2015, Decreto Único Reglamentario del Sector Justicia y del Derecho, relacionado con la presentación, tratamiento y radicación de las peticiones presentadas verbalmente".</w:t>
            </w:r>
          </w:p>
        </w:tc>
      </w:tr>
      <w:tr w:rsidR="00D71323" w:rsidRPr="00081FE7" w:rsidTr="004468AC">
        <w:tc>
          <w:tcPr>
            <w:tcW w:w="1554" w:type="dxa"/>
            <w:vMerge/>
            <w:shd w:val="clear" w:color="auto" w:fill="auto"/>
            <w:vAlign w:val="center"/>
          </w:tcPr>
          <w:p w:rsidR="00D71323" w:rsidRPr="00081FE7" w:rsidRDefault="00D71323" w:rsidP="00A03FD7">
            <w:pPr>
              <w:spacing w:line="259" w:lineRule="auto"/>
              <w:jc w:val="center"/>
              <w:rPr>
                <w:rFonts w:ascii="Cambria" w:hAnsi="Cambria"/>
                <w:sz w:val="20"/>
                <w:szCs w:val="20"/>
              </w:rPr>
            </w:pPr>
          </w:p>
        </w:tc>
        <w:tc>
          <w:tcPr>
            <w:tcW w:w="2269" w:type="dxa"/>
            <w:shd w:val="clear" w:color="auto" w:fill="auto"/>
            <w:vAlign w:val="center"/>
          </w:tcPr>
          <w:p w:rsidR="00D71323" w:rsidRPr="00081FE7" w:rsidRDefault="00D71323" w:rsidP="00A03FD7">
            <w:pPr>
              <w:spacing w:line="259" w:lineRule="auto"/>
              <w:ind w:left="-107"/>
              <w:jc w:val="center"/>
              <w:rPr>
                <w:rFonts w:ascii="Cambria" w:hAnsi="Cambria"/>
                <w:sz w:val="20"/>
                <w:szCs w:val="20"/>
              </w:rPr>
            </w:pPr>
            <w:r>
              <w:rPr>
                <w:rFonts w:ascii="Cambria" w:hAnsi="Cambria"/>
                <w:sz w:val="20"/>
                <w:szCs w:val="20"/>
              </w:rPr>
              <w:t>Decreto Legislativo 491 de 2020</w:t>
            </w:r>
          </w:p>
        </w:tc>
        <w:tc>
          <w:tcPr>
            <w:tcW w:w="1134" w:type="dxa"/>
            <w:shd w:val="clear" w:color="auto" w:fill="auto"/>
            <w:vAlign w:val="center"/>
          </w:tcPr>
          <w:p w:rsidR="00D71323" w:rsidRPr="00081FE7" w:rsidRDefault="00D71323" w:rsidP="00A03FD7">
            <w:pPr>
              <w:spacing w:line="259" w:lineRule="auto"/>
              <w:jc w:val="center"/>
              <w:rPr>
                <w:rFonts w:ascii="Cambria" w:hAnsi="Cambria"/>
                <w:sz w:val="20"/>
                <w:szCs w:val="20"/>
              </w:rPr>
            </w:pPr>
            <w:r>
              <w:rPr>
                <w:rFonts w:ascii="Cambria" w:hAnsi="Cambria"/>
                <w:sz w:val="20"/>
                <w:szCs w:val="20"/>
              </w:rPr>
              <w:t>Art. 5°</w:t>
            </w:r>
          </w:p>
        </w:tc>
        <w:tc>
          <w:tcPr>
            <w:tcW w:w="5011" w:type="dxa"/>
            <w:shd w:val="clear" w:color="auto" w:fill="auto"/>
            <w:vAlign w:val="center"/>
          </w:tcPr>
          <w:p w:rsidR="00D71323" w:rsidRDefault="00D71323" w:rsidP="0087340E">
            <w:pPr>
              <w:spacing w:line="259" w:lineRule="auto"/>
              <w:jc w:val="both"/>
              <w:rPr>
                <w:rFonts w:ascii="Cambria" w:hAnsi="Cambria"/>
                <w:sz w:val="20"/>
                <w:szCs w:val="20"/>
              </w:rPr>
            </w:pPr>
            <w:r>
              <w:rPr>
                <w:rFonts w:ascii="Cambria" w:hAnsi="Cambria"/>
                <w:sz w:val="20"/>
                <w:szCs w:val="20"/>
              </w:rPr>
              <w:t xml:space="preserve">Amplió los términos para atender las peticiones que se encuentren en curso o que se radiquen durante la vigencia de la Emergencia Sanitaria, así: </w:t>
            </w:r>
          </w:p>
          <w:p w:rsidR="00D71323" w:rsidRDefault="00D71323" w:rsidP="0087340E">
            <w:pPr>
              <w:spacing w:line="259" w:lineRule="auto"/>
              <w:jc w:val="both"/>
              <w:rPr>
                <w:rFonts w:ascii="Cambria" w:hAnsi="Cambria"/>
                <w:sz w:val="20"/>
                <w:szCs w:val="20"/>
              </w:rPr>
            </w:pPr>
            <w:r>
              <w:rPr>
                <w:rFonts w:ascii="Cambria" w:hAnsi="Cambria"/>
                <w:sz w:val="20"/>
                <w:szCs w:val="20"/>
              </w:rPr>
              <w:t>“(…) Salvo norma especial toda petición deberá resolverse dentro de los treinta (30) días siguientes a su recepción.</w:t>
            </w:r>
          </w:p>
          <w:p w:rsidR="00D71323" w:rsidRDefault="00D71323" w:rsidP="0087340E">
            <w:pPr>
              <w:spacing w:line="259" w:lineRule="auto"/>
              <w:jc w:val="both"/>
              <w:rPr>
                <w:rFonts w:ascii="Cambria" w:hAnsi="Cambria"/>
                <w:sz w:val="20"/>
                <w:szCs w:val="20"/>
              </w:rPr>
            </w:pPr>
            <w:r>
              <w:rPr>
                <w:rFonts w:ascii="Cambria" w:hAnsi="Cambria"/>
                <w:sz w:val="20"/>
                <w:szCs w:val="20"/>
              </w:rPr>
              <w:t>Estará sometida a término especial la resolución de las siguientes peticiones:</w:t>
            </w:r>
          </w:p>
          <w:p w:rsidR="00D71323" w:rsidRDefault="00D71323" w:rsidP="0087340E">
            <w:pPr>
              <w:spacing w:line="259" w:lineRule="auto"/>
              <w:jc w:val="both"/>
              <w:rPr>
                <w:rFonts w:ascii="Cambria" w:hAnsi="Cambria"/>
                <w:sz w:val="20"/>
                <w:szCs w:val="20"/>
              </w:rPr>
            </w:pPr>
            <w:r>
              <w:rPr>
                <w:rFonts w:ascii="Cambria" w:hAnsi="Cambria"/>
                <w:sz w:val="20"/>
                <w:szCs w:val="20"/>
              </w:rPr>
              <w:t>(i) Las peticiones de documentos y de información deberán resolverse dentro de los veinte (20) días siguientes a su recepción.</w:t>
            </w:r>
          </w:p>
          <w:p w:rsidR="00D71323" w:rsidRPr="00081FE7" w:rsidRDefault="00D71323" w:rsidP="0087340E">
            <w:pPr>
              <w:spacing w:line="259" w:lineRule="auto"/>
              <w:jc w:val="both"/>
              <w:rPr>
                <w:rFonts w:ascii="Cambria" w:hAnsi="Cambria"/>
                <w:sz w:val="20"/>
                <w:szCs w:val="20"/>
              </w:rPr>
            </w:pPr>
            <w:r>
              <w:rPr>
                <w:rFonts w:ascii="Cambria" w:hAnsi="Cambria"/>
                <w:sz w:val="20"/>
                <w:szCs w:val="20"/>
              </w:rPr>
              <w:t>(ii) Las peticiones mediante las cuales se eleva una consulta a las autoridades en relación con las materias a su cargo resolverse dentro de los treinta y cinco (35) días siguientes a su recepción. (…)”</w:t>
            </w:r>
          </w:p>
        </w:tc>
      </w:tr>
      <w:tr w:rsidR="00D71323" w:rsidRPr="00081FE7" w:rsidTr="004468AC">
        <w:tc>
          <w:tcPr>
            <w:tcW w:w="1554" w:type="dxa"/>
            <w:vMerge/>
            <w:shd w:val="clear" w:color="auto" w:fill="auto"/>
            <w:vAlign w:val="center"/>
          </w:tcPr>
          <w:p w:rsidR="00D71323" w:rsidRPr="00081FE7" w:rsidRDefault="00D71323" w:rsidP="00A03FD7">
            <w:pPr>
              <w:spacing w:line="259" w:lineRule="auto"/>
              <w:jc w:val="center"/>
              <w:rPr>
                <w:rFonts w:ascii="Cambria" w:hAnsi="Cambria"/>
                <w:sz w:val="20"/>
                <w:szCs w:val="20"/>
              </w:rPr>
            </w:pPr>
          </w:p>
        </w:tc>
        <w:tc>
          <w:tcPr>
            <w:tcW w:w="2269" w:type="dxa"/>
            <w:shd w:val="clear" w:color="auto" w:fill="auto"/>
            <w:vAlign w:val="center"/>
          </w:tcPr>
          <w:p w:rsidR="00D71323" w:rsidRDefault="00D71323" w:rsidP="00A03FD7">
            <w:pPr>
              <w:spacing w:line="259" w:lineRule="auto"/>
              <w:ind w:left="-107"/>
              <w:jc w:val="center"/>
              <w:rPr>
                <w:rFonts w:ascii="Cambria" w:hAnsi="Cambria"/>
                <w:sz w:val="20"/>
                <w:szCs w:val="20"/>
              </w:rPr>
            </w:pPr>
            <w:r>
              <w:rPr>
                <w:rFonts w:ascii="Cambria" w:hAnsi="Cambria"/>
                <w:sz w:val="20"/>
                <w:szCs w:val="20"/>
              </w:rPr>
              <w:t>Ley 2207 de 2022 Deroga los artículos 5° y 6° del Decreto 491 de 2020</w:t>
            </w:r>
          </w:p>
        </w:tc>
        <w:tc>
          <w:tcPr>
            <w:tcW w:w="1134" w:type="dxa"/>
            <w:shd w:val="clear" w:color="auto" w:fill="auto"/>
            <w:vAlign w:val="center"/>
          </w:tcPr>
          <w:p w:rsidR="00D71323" w:rsidRDefault="00D71323" w:rsidP="00A03FD7">
            <w:pPr>
              <w:spacing w:line="259" w:lineRule="auto"/>
              <w:jc w:val="center"/>
              <w:rPr>
                <w:rFonts w:ascii="Cambria" w:hAnsi="Cambria"/>
                <w:sz w:val="20"/>
                <w:szCs w:val="20"/>
              </w:rPr>
            </w:pPr>
          </w:p>
        </w:tc>
        <w:tc>
          <w:tcPr>
            <w:tcW w:w="5011" w:type="dxa"/>
            <w:shd w:val="clear" w:color="auto" w:fill="auto"/>
            <w:vAlign w:val="center"/>
          </w:tcPr>
          <w:p w:rsidR="00D71323" w:rsidRDefault="00D71323" w:rsidP="0087340E">
            <w:pPr>
              <w:spacing w:line="259" w:lineRule="auto"/>
              <w:jc w:val="both"/>
              <w:rPr>
                <w:rFonts w:ascii="Cambria" w:hAnsi="Cambria"/>
                <w:sz w:val="20"/>
                <w:szCs w:val="20"/>
              </w:rPr>
            </w:pPr>
            <w:r>
              <w:rPr>
                <w:rFonts w:ascii="Cambria" w:hAnsi="Cambria"/>
                <w:sz w:val="20"/>
                <w:szCs w:val="20"/>
              </w:rPr>
              <w:t>Modifica</w:t>
            </w:r>
            <w:r w:rsidRPr="00D71323">
              <w:rPr>
                <w:rFonts w:ascii="Cambria" w:hAnsi="Cambria"/>
                <w:sz w:val="20"/>
                <w:szCs w:val="20"/>
              </w:rPr>
              <w:t xml:space="preserve"> el Decreto Legislativo 491 de 2020 proferido durante las declaratorias de estado de emergencia económica, social y ecológica por causa de la pandemia de COVID-19.</w:t>
            </w:r>
          </w:p>
        </w:tc>
      </w:tr>
      <w:tr w:rsidR="00081FE7" w:rsidRPr="00081FE7" w:rsidTr="004468AC">
        <w:tc>
          <w:tcPr>
            <w:tcW w:w="1554" w:type="dxa"/>
            <w:shd w:val="clear" w:color="auto" w:fill="auto"/>
            <w:vAlign w:val="center"/>
          </w:tcPr>
          <w:p w:rsidR="00081FE7" w:rsidRPr="00081FE7" w:rsidRDefault="00081FE7" w:rsidP="00A03FD7">
            <w:pPr>
              <w:spacing w:line="259" w:lineRule="auto"/>
              <w:jc w:val="center"/>
              <w:rPr>
                <w:rFonts w:ascii="Cambria" w:hAnsi="Cambria"/>
                <w:sz w:val="20"/>
                <w:szCs w:val="20"/>
              </w:rPr>
            </w:pPr>
            <w:r w:rsidRPr="00081FE7">
              <w:rPr>
                <w:rFonts w:ascii="Cambria" w:hAnsi="Cambria"/>
                <w:sz w:val="20"/>
                <w:szCs w:val="20"/>
              </w:rPr>
              <w:t>Delitos contra la administración pública</w:t>
            </w:r>
          </w:p>
        </w:tc>
        <w:tc>
          <w:tcPr>
            <w:tcW w:w="2269" w:type="dxa"/>
            <w:shd w:val="clear" w:color="auto" w:fill="auto"/>
            <w:vAlign w:val="center"/>
          </w:tcPr>
          <w:p w:rsidR="00081FE7" w:rsidRPr="00081FE7" w:rsidRDefault="00081FE7" w:rsidP="00A03FD7">
            <w:pPr>
              <w:spacing w:line="259" w:lineRule="auto"/>
              <w:ind w:left="-107"/>
              <w:jc w:val="center"/>
              <w:rPr>
                <w:rFonts w:ascii="Cambria" w:hAnsi="Cambria"/>
                <w:sz w:val="20"/>
                <w:szCs w:val="20"/>
              </w:rPr>
            </w:pPr>
            <w:r w:rsidRPr="00081FE7">
              <w:rPr>
                <w:rFonts w:ascii="Cambria" w:hAnsi="Cambria"/>
                <w:sz w:val="20"/>
                <w:szCs w:val="20"/>
              </w:rPr>
              <w:t>Código Penal</w:t>
            </w:r>
          </w:p>
        </w:tc>
        <w:tc>
          <w:tcPr>
            <w:tcW w:w="1134" w:type="dxa"/>
            <w:shd w:val="clear" w:color="auto" w:fill="auto"/>
            <w:vAlign w:val="center"/>
          </w:tcPr>
          <w:p w:rsidR="00081FE7" w:rsidRPr="00081FE7" w:rsidRDefault="00081FE7" w:rsidP="00A03FD7">
            <w:pPr>
              <w:spacing w:line="259" w:lineRule="auto"/>
              <w:jc w:val="center"/>
              <w:rPr>
                <w:rFonts w:ascii="Cambria" w:hAnsi="Cambria"/>
                <w:sz w:val="20"/>
                <w:szCs w:val="20"/>
              </w:rPr>
            </w:pPr>
            <w:r w:rsidRPr="00081FE7">
              <w:rPr>
                <w:rFonts w:ascii="Cambria" w:hAnsi="Cambria"/>
                <w:sz w:val="20"/>
                <w:szCs w:val="20"/>
              </w:rPr>
              <w:t>Arts. 397-434 A</w:t>
            </w:r>
          </w:p>
        </w:tc>
        <w:tc>
          <w:tcPr>
            <w:tcW w:w="5011" w:type="dxa"/>
            <w:shd w:val="clear" w:color="auto" w:fill="auto"/>
            <w:vAlign w:val="center"/>
          </w:tcPr>
          <w:p w:rsidR="00081FE7" w:rsidRPr="00081FE7" w:rsidRDefault="00081FE7" w:rsidP="0013006F">
            <w:pPr>
              <w:spacing w:line="259" w:lineRule="auto"/>
              <w:jc w:val="both"/>
              <w:rPr>
                <w:rFonts w:ascii="Cambria" w:hAnsi="Cambria"/>
                <w:sz w:val="20"/>
                <w:szCs w:val="20"/>
              </w:rPr>
            </w:pPr>
            <w:r w:rsidRPr="00081FE7">
              <w:rPr>
                <w:rFonts w:ascii="Cambria" w:hAnsi="Cambria"/>
                <w:sz w:val="20"/>
                <w:szCs w:val="20"/>
              </w:rPr>
              <w:t>Establece las conductas delictivas y las sanciones por atentar contra la administración pública (v. gr. peculado, prevaricato, cohecho, entre otros).</w:t>
            </w:r>
          </w:p>
        </w:tc>
      </w:tr>
      <w:tr w:rsidR="003951AA" w:rsidRPr="00081FE7" w:rsidTr="004468AC">
        <w:tc>
          <w:tcPr>
            <w:tcW w:w="1554" w:type="dxa"/>
            <w:vMerge w:val="restart"/>
            <w:shd w:val="clear" w:color="auto" w:fill="auto"/>
            <w:vAlign w:val="center"/>
          </w:tcPr>
          <w:p w:rsidR="003951AA" w:rsidRPr="00081FE7" w:rsidRDefault="003951AA" w:rsidP="00A03FD7">
            <w:pPr>
              <w:spacing w:line="259" w:lineRule="auto"/>
              <w:jc w:val="center"/>
              <w:rPr>
                <w:rFonts w:ascii="Cambria" w:hAnsi="Cambria"/>
                <w:sz w:val="20"/>
                <w:szCs w:val="20"/>
              </w:rPr>
            </w:pPr>
            <w:r w:rsidRPr="00081FE7">
              <w:rPr>
                <w:rFonts w:ascii="Cambria" w:hAnsi="Cambria"/>
                <w:sz w:val="20"/>
                <w:szCs w:val="20"/>
              </w:rPr>
              <w:t>Normas de conducta de los funcionarios públicos</w:t>
            </w:r>
          </w:p>
        </w:tc>
        <w:tc>
          <w:tcPr>
            <w:tcW w:w="2269" w:type="dxa"/>
            <w:shd w:val="clear" w:color="auto" w:fill="auto"/>
            <w:vAlign w:val="center"/>
          </w:tcPr>
          <w:p w:rsidR="003951AA" w:rsidRPr="00081FE7" w:rsidRDefault="003951AA" w:rsidP="00A03FD7">
            <w:pPr>
              <w:spacing w:line="259" w:lineRule="auto"/>
              <w:ind w:left="-107"/>
              <w:jc w:val="center"/>
              <w:rPr>
                <w:rFonts w:ascii="Cambria" w:hAnsi="Cambria"/>
                <w:sz w:val="20"/>
                <w:szCs w:val="20"/>
              </w:rPr>
            </w:pPr>
            <w:r w:rsidRPr="00081FE7">
              <w:rPr>
                <w:rFonts w:ascii="Cambria" w:hAnsi="Cambria"/>
                <w:sz w:val="20"/>
                <w:szCs w:val="20"/>
              </w:rPr>
              <w:t>Código Único Disciplinario</w:t>
            </w:r>
          </w:p>
        </w:tc>
        <w:tc>
          <w:tcPr>
            <w:tcW w:w="1134" w:type="dxa"/>
            <w:shd w:val="clear" w:color="auto" w:fill="auto"/>
            <w:vAlign w:val="center"/>
          </w:tcPr>
          <w:p w:rsidR="003951AA" w:rsidRPr="00081FE7" w:rsidRDefault="003951AA" w:rsidP="00A03FD7">
            <w:pPr>
              <w:spacing w:line="259" w:lineRule="auto"/>
              <w:jc w:val="center"/>
              <w:rPr>
                <w:rFonts w:ascii="Cambria" w:hAnsi="Cambria"/>
                <w:sz w:val="20"/>
                <w:szCs w:val="20"/>
              </w:rPr>
            </w:pPr>
            <w:r w:rsidRPr="00081FE7">
              <w:rPr>
                <w:rFonts w:ascii="Cambria" w:hAnsi="Cambria"/>
                <w:sz w:val="20"/>
                <w:szCs w:val="20"/>
              </w:rPr>
              <w:t>Todo</w:t>
            </w:r>
          </w:p>
        </w:tc>
        <w:tc>
          <w:tcPr>
            <w:tcW w:w="5011" w:type="dxa"/>
            <w:shd w:val="clear" w:color="auto" w:fill="auto"/>
            <w:vAlign w:val="center"/>
          </w:tcPr>
          <w:p w:rsidR="003951AA" w:rsidRPr="00081FE7" w:rsidRDefault="003951AA" w:rsidP="0013006F">
            <w:pPr>
              <w:spacing w:line="259" w:lineRule="auto"/>
              <w:jc w:val="both"/>
              <w:rPr>
                <w:rFonts w:ascii="Cambria" w:hAnsi="Cambria"/>
                <w:sz w:val="20"/>
                <w:szCs w:val="20"/>
              </w:rPr>
            </w:pPr>
            <w:r w:rsidRPr="00081FE7">
              <w:rPr>
                <w:rFonts w:ascii="Cambria" w:hAnsi="Cambria"/>
                <w:sz w:val="20"/>
                <w:szCs w:val="20"/>
              </w:rPr>
              <w:t>Establece los deberes, prohibiciones, faltas, procedimientos por su infracción, entre otros asuntos de los servidores públicos.</w:t>
            </w:r>
          </w:p>
        </w:tc>
      </w:tr>
      <w:tr w:rsidR="003951AA" w:rsidRPr="00081FE7" w:rsidTr="004468AC">
        <w:tc>
          <w:tcPr>
            <w:tcW w:w="1554" w:type="dxa"/>
            <w:vMerge/>
            <w:shd w:val="clear" w:color="auto" w:fill="auto"/>
            <w:vAlign w:val="center"/>
          </w:tcPr>
          <w:p w:rsidR="003951AA" w:rsidRPr="00081FE7" w:rsidRDefault="003951AA" w:rsidP="00A03FD7">
            <w:pPr>
              <w:spacing w:line="259" w:lineRule="auto"/>
              <w:jc w:val="center"/>
              <w:rPr>
                <w:rFonts w:ascii="Cambria" w:hAnsi="Cambria"/>
                <w:sz w:val="20"/>
                <w:szCs w:val="20"/>
              </w:rPr>
            </w:pPr>
          </w:p>
        </w:tc>
        <w:tc>
          <w:tcPr>
            <w:tcW w:w="2269" w:type="dxa"/>
            <w:shd w:val="clear" w:color="auto" w:fill="auto"/>
            <w:vAlign w:val="center"/>
          </w:tcPr>
          <w:p w:rsidR="003951AA" w:rsidRPr="00081FE7" w:rsidRDefault="003951AA" w:rsidP="00A03FD7">
            <w:pPr>
              <w:spacing w:line="259" w:lineRule="auto"/>
              <w:ind w:left="-107"/>
              <w:jc w:val="center"/>
              <w:rPr>
                <w:rFonts w:ascii="Cambria" w:hAnsi="Cambria"/>
                <w:sz w:val="20"/>
                <w:szCs w:val="20"/>
              </w:rPr>
            </w:pPr>
            <w:r>
              <w:rPr>
                <w:rFonts w:ascii="Cambria" w:hAnsi="Cambria"/>
                <w:sz w:val="20"/>
                <w:szCs w:val="20"/>
              </w:rPr>
              <w:t>Ley 2013 de 2019</w:t>
            </w:r>
          </w:p>
        </w:tc>
        <w:tc>
          <w:tcPr>
            <w:tcW w:w="1134" w:type="dxa"/>
            <w:shd w:val="clear" w:color="auto" w:fill="auto"/>
            <w:vAlign w:val="center"/>
          </w:tcPr>
          <w:p w:rsidR="003951AA" w:rsidRPr="00081FE7" w:rsidRDefault="003951AA" w:rsidP="00A03FD7">
            <w:pPr>
              <w:spacing w:line="259" w:lineRule="auto"/>
              <w:jc w:val="center"/>
              <w:rPr>
                <w:rFonts w:ascii="Cambria" w:hAnsi="Cambria"/>
                <w:sz w:val="20"/>
                <w:szCs w:val="20"/>
              </w:rPr>
            </w:pPr>
          </w:p>
        </w:tc>
        <w:tc>
          <w:tcPr>
            <w:tcW w:w="5011" w:type="dxa"/>
            <w:shd w:val="clear" w:color="auto" w:fill="auto"/>
            <w:vAlign w:val="center"/>
          </w:tcPr>
          <w:p w:rsidR="003951AA" w:rsidRPr="00081FE7" w:rsidRDefault="003951AA" w:rsidP="0013006F">
            <w:pPr>
              <w:spacing w:line="259" w:lineRule="auto"/>
              <w:jc w:val="both"/>
              <w:rPr>
                <w:rFonts w:ascii="Cambria" w:hAnsi="Cambria"/>
                <w:sz w:val="20"/>
                <w:szCs w:val="20"/>
              </w:rPr>
            </w:pPr>
            <w:r w:rsidRPr="0013006F">
              <w:rPr>
                <w:rFonts w:ascii="Cambria" w:hAnsi="Cambria"/>
                <w:sz w:val="20"/>
                <w:szCs w:val="20"/>
              </w:rPr>
              <w:t>Declaración Pública de Bienes y Rentas, Registro de Conflictos de Interés y Declaración de Renta</w:t>
            </w:r>
            <w:r>
              <w:rPr>
                <w:rFonts w:ascii="Cambria" w:hAnsi="Cambria"/>
                <w:sz w:val="20"/>
                <w:szCs w:val="20"/>
              </w:rPr>
              <w:t>.</w:t>
            </w:r>
          </w:p>
        </w:tc>
      </w:tr>
      <w:tr w:rsidR="003951AA" w:rsidRPr="00081FE7" w:rsidTr="004468AC">
        <w:tc>
          <w:tcPr>
            <w:tcW w:w="1554" w:type="dxa"/>
            <w:vMerge/>
            <w:shd w:val="clear" w:color="auto" w:fill="auto"/>
            <w:vAlign w:val="center"/>
          </w:tcPr>
          <w:p w:rsidR="003951AA" w:rsidRPr="00081FE7" w:rsidRDefault="003951AA" w:rsidP="00A03FD7">
            <w:pPr>
              <w:spacing w:line="259" w:lineRule="auto"/>
              <w:jc w:val="center"/>
              <w:rPr>
                <w:rFonts w:ascii="Cambria" w:hAnsi="Cambria"/>
                <w:sz w:val="20"/>
                <w:szCs w:val="20"/>
              </w:rPr>
            </w:pPr>
          </w:p>
        </w:tc>
        <w:tc>
          <w:tcPr>
            <w:tcW w:w="2269" w:type="dxa"/>
            <w:shd w:val="clear" w:color="auto" w:fill="auto"/>
            <w:vAlign w:val="center"/>
          </w:tcPr>
          <w:p w:rsidR="003951AA" w:rsidRDefault="003951AA" w:rsidP="00A03FD7">
            <w:pPr>
              <w:spacing w:line="259" w:lineRule="auto"/>
              <w:ind w:left="-107"/>
              <w:jc w:val="center"/>
              <w:rPr>
                <w:rFonts w:ascii="Cambria" w:hAnsi="Cambria"/>
                <w:sz w:val="20"/>
                <w:szCs w:val="20"/>
              </w:rPr>
            </w:pPr>
            <w:r>
              <w:rPr>
                <w:rFonts w:ascii="Cambria" w:hAnsi="Cambria"/>
                <w:sz w:val="20"/>
                <w:szCs w:val="20"/>
              </w:rPr>
              <w:t>Ley 2016 de 2020</w:t>
            </w:r>
          </w:p>
        </w:tc>
        <w:tc>
          <w:tcPr>
            <w:tcW w:w="1134" w:type="dxa"/>
            <w:shd w:val="clear" w:color="auto" w:fill="auto"/>
            <w:vAlign w:val="center"/>
          </w:tcPr>
          <w:p w:rsidR="003951AA" w:rsidRPr="00081FE7" w:rsidRDefault="003951AA" w:rsidP="00A03FD7">
            <w:pPr>
              <w:spacing w:line="259" w:lineRule="auto"/>
              <w:jc w:val="center"/>
              <w:rPr>
                <w:rFonts w:ascii="Cambria" w:hAnsi="Cambria"/>
                <w:sz w:val="20"/>
                <w:szCs w:val="20"/>
              </w:rPr>
            </w:pPr>
          </w:p>
        </w:tc>
        <w:tc>
          <w:tcPr>
            <w:tcW w:w="5011" w:type="dxa"/>
            <w:shd w:val="clear" w:color="auto" w:fill="auto"/>
            <w:vAlign w:val="center"/>
          </w:tcPr>
          <w:p w:rsidR="003951AA" w:rsidRPr="0013006F" w:rsidRDefault="003951AA" w:rsidP="003951AA">
            <w:pPr>
              <w:spacing w:line="259" w:lineRule="auto"/>
              <w:jc w:val="both"/>
              <w:rPr>
                <w:rFonts w:ascii="Cambria" w:hAnsi="Cambria"/>
                <w:sz w:val="20"/>
                <w:szCs w:val="20"/>
              </w:rPr>
            </w:pPr>
            <w:r w:rsidRPr="003951AA">
              <w:rPr>
                <w:rFonts w:ascii="Cambria" w:hAnsi="Cambria"/>
                <w:sz w:val="20"/>
                <w:szCs w:val="20"/>
              </w:rPr>
              <w:t>Ley de Código de Integridad.</w:t>
            </w:r>
          </w:p>
        </w:tc>
      </w:tr>
    </w:tbl>
    <w:p w:rsidR="00081FE7" w:rsidRDefault="00081FE7" w:rsidP="00081FE7">
      <w:pPr>
        <w:spacing w:line="259" w:lineRule="auto"/>
        <w:rPr>
          <w:rFonts w:ascii="Cambria" w:hAnsi="Cambria"/>
        </w:rPr>
      </w:pPr>
    </w:p>
    <w:p w:rsidR="003951AA" w:rsidRDefault="003951AA" w:rsidP="00081FE7">
      <w:pPr>
        <w:spacing w:line="259" w:lineRule="auto"/>
        <w:rPr>
          <w:rFonts w:ascii="Cambria" w:hAnsi="Cambria"/>
        </w:rPr>
      </w:pPr>
    </w:p>
    <w:p w:rsidR="003951AA" w:rsidRPr="00081FE7" w:rsidRDefault="003951AA" w:rsidP="00081FE7">
      <w:pPr>
        <w:spacing w:line="259" w:lineRule="auto"/>
        <w:rPr>
          <w:rFonts w:ascii="Cambria" w:hAnsi="Cambria"/>
        </w:rPr>
      </w:pPr>
    </w:p>
    <w:p w:rsidR="00081FE7" w:rsidRPr="00081FE7" w:rsidRDefault="00081FE7" w:rsidP="00081FE7">
      <w:pPr>
        <w:pStyle w:val="Ttulo1"/>
        <w:numPr>
          <w:ilvl w:val="0"/>
          <w:numId w:val="20"/>
        </w:numPr>
        <w:ind w:left="567" w:hanging="567"/>
        <w:rPr>
          <w:color w:val="auto"/>
          <w:sz w:val="22"/>
        </w:rPr>
      </w:pPr>
      <w:r w:rsidRPr="00081FE7">
        <w:rPr>
          <w:color w:val="auto"/>
          <w:sz w:val="22"/>
        </w:rPr>
        <w:lastRenderedPageBreak/>
        <w:t>ACCIONES PRELIMINARES AL PLAN ANTICORRUPCIÓN Y DE ATENCIÓN AL CIUDADANO</w:t>
      </w:r>
    </w:p>
    <w:p w:rsidR="00081FE7" w:rsidRPr="00081FE7" w:rsidRDefault="00081FE7" w:rsidP="00081FE7">
      <w:pPr>
        <w:spacing w:line="259" w:lineRule="auto"/>
        <w:rPr>
          <w:rFonts w:ascii="Cambria" w:hAnsi="Cambria"/>
          <w:sz w:val="22"/>
        </w:rPr>
      </w:pPr>
    </w:p>
    <w:p w:rsidR="00081FE7" w:rsidRPr="00081FE7" w:rsidRDefault="00081FE7" w:rsidP="00081FE7">
      <w:pPr>
        <w:pStyle w:val="Ttulo1"/>
        <w:numPr>
          <w:ilvl w:val="1"/>
          <w:numId w:val="21"/>
        </w:numPr>
        <w:ind w:left="567" w:hanging="567"/>
        <w:rPr>
          <w:color w:val="auto"/>
          <w:sz w:val="22"/>
        </w:rPr>
      </w:pPr>
      <w:r w:rsidRPr="00081FE7">
        <w:rPr>
          <w:color w:val="auto"/>
          <w:sz w:val="22"/>
        </w:rPr>
        <w:t>CONTEXTO ESTRATÉGICO</w:t>
      </w:r>
    </w:p>
    <w:p w:rsidR="00081FE7" w:rsidRPr="00081FE7" w:rsidRDefault="00081FE7" w:rsidP="00081FE7">
      <w:pPr>
        <w:spacing w:after="2" w:line="259" w:lineRule="auto"/>
        <w:rPr>
          <w:rFonts w:ascii="Cambria" w:eastAsia="Calibri" w:hAnsi="Cambria" w:cs="Calibri"/>
          <w:sz w:val="22"/>
        </w:rPr>
      </w:pPr>
    </w:p>
    <w:p w:rsidR="00081FE7" w:rsidRPr="00081FE7" w:rsidRDefault="00081FE7" w:rsidP="00081FE7">
      <w:pPr>
        <w:pStyle w:val="Sinespaciado"/>
        <w:ind w:right="55"/>
        <w:rPr>
          <w:sz w:val="22"/>
        </w:rPr>
      </w:pPr>
      <w:r w:rsidRPr="00081FE7">
        <w:rPr>
          <w:sz w:val="22"/>
        </w:rPr>
        <w:t xml:space="preserve">La Unidad de Información y Análisis Financiero - UIAF, es una unidad administrativa especial del Estado  colombiano,  con  personería  jurídica,  autonomía  administrativa  y  financiera,  de  carácter técnico,  adscrita  al Ministerio de Hacienda y Crédito Público. Es el órgano de inteligencia financiera  del país, fue creada por la Ley 526 de 1999 y reglamentada por el Decreto 1497 de 2002 (compilado en el Decreto 1068 de 2015), con el fin de prevenir, detectar y luchar contra el lavado de activos y </w:t>
      </w:r>
      <w:r w:rsidR="00980ED7">
        <w:rPr>
          <w:sz w:val="22"/>
        </w:rPr>
        <w:t>el Financiamiento del Terrorismo</w:t>
      </w:r>
      <w:r w:rsidRPr="00081FE7">
        <w:rPr>
          <w:sz w:val="22"/>
        </w:rPr>
        <w:t>.</w:t>
      </w:r>
    </w:p>
    <w:p w:rsidR="00081FE7" w:rsidRPr="00081FE7" w:rsidRDefault="00081FE7" w:rsidP="00081FE7">
      <w:pPr>
        <w:pStyle w:val="Sinespaciado"/>
        <w:ind w:right="55"/>
        <w:rPr>
          <w:sz w:val="22"/>
        </w:rPr>
      </w:pPr>
    </w:p>
    <w:p w:rsidR="00081FE7" w:rsidRPr="00081FE7" w:rsidRDefault="00081FE7" w:rsidP="00081FE7">
      <w:pPr>
        <w:pStyle w:val="Sinespaciado"/>
        <w:ind w:right="55"/>
        <w:rPr>
          <w:sz w:val="22"/>
        </w:rPr>
      </w:pPr>
      <w:r w:rsidRPr="00081FE7">
        <w:rPr>
          <w:sz w:val="22"/>
        </w:rPr>
        <w:t xml:space="preserve">A  partir de la expedición de la Ley 1621 de 2013, la  UIAF  entró  a  ser parte de  la Comunidad de  Inteligencia del país. Su función en este nuevo marco normativo  es “proteger los derechos humanos, prevenir y combatir amenazas internas o externas contra la vigencia del régimen democrático, el régimen constitucional y legal, la </w:t>
      </w:r>
      <w:r w:rsidR="00980ED7">
        <w:rPr>
          <w:sz w:val="22"/>
        </w:rPr>
        <w:t xml:space="preserve">defensa y </w:t>
      </w:r>
      <w:r w:rsidRPr="00081FE7">
        <w:rPr>
          <w:sz w:val="22"/>
        </w:rPr>
        <w:t>seguridad nacional”, entre otras.</w:t>
      </w:r>
    </w:p>
    <w:p w:rsidR="00081FE7" w:rsidRPr="00081FE7" w:rsidRDefault="00081FE7" w:rsidP="00081FE7">
      <w:pPr>
        <w:pStyle w:val="Sinespaciado"/>
        <w:ind w:right="55"/>
        <w:rPr>
          <w:sz w:val="22"/>
        </w:rPr>
      </w:pPr>
    </w:p>
    <w:p w:rsidR="00081FE7" w:rsidRPr="00081FE7" w:rsidRDefault="00081FE7" w:rsidP="00081FE7">
      <w:pPr>
        <w:pStyle w:val="Sinespaciado"/>
        <w:ind w:right="55"/>
        <w:rPr>
          <w:sz w:val="22"/>
        </w:rPr>
      </w:pPr>
      <w:r w:rsidRPr="00081FE7">
        <w:rPr>
          <w:sz w:val="22"/>
        </w:rPr>
        <w:t>De  esta forma,  la UIAF  se establece como un  organismo de  inteligencia  económica y financiera, que centraliza, sistematiza y analiza la información recaudada en virtud de las leyes 526 de 1999 y  1621  de  2013 suministrada por  los  sujetos obligados a reportar y otras fuentes  abiertas,  para  prevenir  y detectar  posibles  operaciones  de  lavado  de  activos,  financiación  del  terrorismo, proliferación de armas de destrucción masiva y  sus  delitos fuente.</w:t>
      </w:r>
    </w:p>
    <w:p w:rsidR="00081FE7" w:rsidRPr="00081FE7" w:rsidRDefault="00081FE7" w:rsidP="00081FE7">
      <w:pPr>
        <w:pStyle w:val="Sinespaciado"/>
        <w:ind w:right="55"/>
        <w:rPr>
          <w:sz w:val="22"/>
        </w:rPr>
      </w:pPr>
    </w:p>
    <w:p w:rsidR="00081FE7" w:rsidRPr="00081FE7" w:rsidRDefault="00081FE7" w:rsidP="00081FE7">
      <w:pPr>
        <w:pStyle w:val="Sinespaciado"/>
        <w:ind w:right="55"/>
        <w:rPr>
          <w:sz w:val="22"/>
        </w:rPr>
      </w:pPr>
      <w:r w:rsidRPr="00081FE7">
        <w:rPr>
          <w:sz w:val="22"/>
        </w:rPr>
        <w:t xml:space="preserve">Con  </w:t>
      </w:r>
      <w:r w:rsidR="00980ED7">
        <w:rPr>
          <w:sz w:val="22"/>
        </w:rPr>
        <w:t xml:space="preserve">más de </w:t>
      </w:r>
      <w:r w:rsidRPr="00081FE7">
        <w:rPr>
          <w:sz w:val="22"/>
        </w:rPr>
        <w:t xml:space="preserve">veinte (20) años de trayectoria, la UIAF por su trabajo y resultados ha logrado consolidarse como un referente regional e internacional, con una participación activa en diferentes escenarios internacionales, entre los que se destacan: a) Grupo Egmont, realizando intercambio de información con entidades homólogas de inteligencia financiera de los países miembros; b) Organización de Estados Americanos – OEA; c) Oficina de las Naciones Unidas contra las Drogas y el Delitos - UNODC, donde comparte experiencias y conocimiento sobre procesos, procedimientos, instrumentos y mecanismos para combatir el Lavado de Activos y </w:t>
      </w:r>
      <w:r w:rsidR="00980ED7">
        <w:rPr>
          <w:sz w:val="22"/>
        </w:rPr>
        <w:t>el Financiamiento del Terrorismo</w:t>
      </w:r>
      <w:r w:rsidRPr="00081FE7">
        <w:rPr>
          <w:sz w:val="22"/>
        </w:rPr>
        <w:t xml:space="preserve"> – LA/FT; y d) Grupo de Acción Financiera de Latinoamérica - GAFILAT, donde participa en la evaluación y mejora del Sistema Antilavado de Activos y Contra </w:t>
      </w:r>
      <w:r w:rsidR="00980ED7">
        <w:rPr>
          <w:sz w:val="22"/>
        </w:rPr>
        <w:t>el Financiamiento del Terrorismo</w:t>
      </w:r>
      <w:r w:rsidRPr="00081FE7">
        <w:rPr>
          <w:sz w:val="22"/>
        </w:rPr>
        <w:t xml:space="preserve"> - ALA/CFT de Colombia, mediante el intercambio de experiencias y estrategias adoptadas por los diferentes países de la región. Esta participación está enfocada a contribuir a la lucha contra los delitos transnacionales de lavado de activos, sus delitos fuente y </w:t>
      </w:r>
      <w:r w:rsidR="00980ED7">
        <w:rPr>
          <w:sz w:val="22"/>
        </w:rPr>
        <w:t>el Financiamiento del Terrorismo</w:t>
      </w:r>
      <w:r w:rsidRPr="00081FE7">
        <w:rPr>
          <w:sz w:val="22"/>
        </w:rPr>
        <w:t>, mediante una contribución activa y una participación constructiva.</w:t>
      </w:r>
    </w:p>
    <w:p w:rsidR="00081FE7" w:rsidRPr="00081FE7" w:rsidRDefault="00081FE7" w:rsidP="00081FE7">
      <w:pPr>
        <w:spacing w:after="2" w:line="259" w:lineRule="auto"/>
        <w:rPr>
          <w:rFonts w:ascii="Cambria" w:eastAsia="Calibri" w:hAnsi="Cambria" w:cs="Calibri"/>
          <w:sz w:val="22"/>
        </w:rPr>
      </w:pPr>
    </w:p>
    <w:p w:rsidR="00081FE7" w:rsidRPr="00081FE7" w:rsidRDefault="00081FE7" w:rsidP="00081FE7">
      <w:pPr>
        <w:spacing w:after="2" w:line="259" w:lineRule="auto"/>
        <w:jc w:val="both"/>
        <w:rPr>
          <w:rFonts w:ascii="Cambria" w:eastAsia="Calibri" w:hAnsi="Cambria" w:cs="Calibri"/>
          <w:sz w:val="22"/>
        </w:rPr>
      </w:pPr>
      <w:r w:rsidRPr="00081FE7">
        <w:rPr>
          <w:rFonts w:ascii="Cambria" w:eastAsia="Calibri" w:hAnsi="Cambria" w:cs="Calibri"/>
          <w:sz w:val="22"/>
        </w:rPr>
        <w:t xml:space="preserve">El marco estratégico de la UIAF se construye a partir de los lineamientos de la política de defensa y seguridad nacional, los lineamientos sectoriales, institucionales y de la comunidad de inteligencia que circunscriben la gestión de detección y prevención del Lavado de Activos y </w:t>
      </w:r>
      <w:r w:rsidR="00980ED7">
        <w:rPr>
          <w:rFonts w:ascii="Cambria" w:eastAsia="Calibri" w:hAnsi="Cambria" w:cs="Calibri"/>
          <w:sz w:val="22"/>
        </w:rPr>
        <w:t>el Financiamiento del Terrorismo</w:t>
      </w:r>
      <w:r w:rsidRPr="00081FE7">
        <w:rPr>
          <w:rFonts w:ascii="Cambria" w:eastAsia="Calibri" w:hAnsi="Cambria" w:cs="Calibri"/>
          <w:sz w:val="22"/>
        </w:rPr>
        <w:t>, como respuesta a las necesidades del Gobierno nacional y de la economía del país. Dentro de los lineamientos nacionales y sectoriales se encuentran los compromisos adquiridos en agendas internacionales como es el caso de los objetivos de desarrollo sostenible y los lineamientos sectoriales nacionales (</w:t>
      </w:r>
      <w:r w:rsidR="00980ED7">
        <w:rPr>
          <w:rFonts w:ascii="Cambria" w:eastAsia="Calibri" w:hAnsi="Cambria" w:cs="Calibri"/>
          <w:sz w:val="22"/>
        </w:rPr>
        <w:t xml:space="preserve">Política </w:t>
      </w:r>
      <w:r w:rsidRPr="00081FE7">
        <w:rPr>
          <w:rFonts w:ascii="Cambria" w:eastAsia="Calibri" w:hAnsi="Cambria" w:cs="Calibri"/>
          <w:sz w:val="22"/>
        </w:rPr>
        <w:t xml:space="preserve">de </w:t>
      </w:r>
      <w:r w:rsidR="00980ED7">
        <w:rPr>
          <w:rFonts w:ascii="Cambria" w:eastAsia="Calibri" w:hAnsi="Cambria" w:cs="Calibri"/>
          <w:sz w:val="22"/>
        </w:rPr>
        <w:t xml:space="preserve">Defensa y </w:t>
      </w:r>
      <w:r w:rsidRPr="00081FE7">
        <w:rPr>
          <w:rFonts w:ascii="Cambria" w:eastAsia="Calibri" w:hAnsi="Cambria" w:cs="Calibri"/>
          <w:sz w:val="22"/>
        </w:rPr>
        <w:t>Seguridad, el Plan Nacional de Desarrollo y el Plan Nacional de Inteligencia). Por su parte, los lineamientos institucionales como el propósito superior, la misión, la visión, los objetivos estratégicos y la política integral de gestión.</w:t>
      </w:r>
    </w:p>
    <w:p w:rsidR="00081FE7" w:rsidRPr="00081FE7" w:rsidRDefault="00081FE7" w:rsidP="00081FE7">
      <w:pPr>
        <w:spacing w:after="2" w:line="259" w:lineRule="auto"/>
        <w:rPr>
          <w:rFonts w:ascii="Cambria" w:eastAsia="Calibri" w:hAnsi="Cambria" w:cs="Calibri"/>
          <w:sz w:val="22"/>
        </w:rPr>
      </w:pPr>
    </w:p>
    <w:p w:rsidR="00081FE7" w:rsidRPr="00081FE7" w:rsidRDefault="00081FE7" w:rsidP="00081FE7">
      <w:pPr>
        <w:pStyle w:val="Prrafodelista"/>
        <w:numPr>
          <w:ilvl w:val="0"/>
          <w:numId w:val="23"/>
        </w:numPr>
        <w:spacing w:after="2"/>
        <w:jc w:val="both"/>
        <w:rPr>
          <w:rFonts w:ascii="Cambria" w:hAnsi="Cambria"/>
          <w:b/>
        </w:rPr>
      </w:pPr>
      <w:r w:rsidRPr="00081FE7">
        <w:rPr>
          <w:rFonts w:ascii="Cambria" w:hAnsi="Cambria" w:cs="Calibri"/>
          <w:b/>
        </w:rPr>
        <w:t>Propósito Superior</w:t>
      </w:r>
    </w:p>
    <w:p w:rsidR="00081FE7" w:rsidRPr="00081FE7" w:rsidRDefault="00081FE7" w:rsidP="00081FE7">
      <w:pPr>
        <w:spacing w:after="2" w:line="259" w:lineRule="auto"/>
        <w:rPr>
          <w:rFonts w:ascii="Cambria" w:eastAsia="Calibri" w:hAnsi="Cambria" w:cs="Calibri"/>
          <w:sz w:val="22"/>
        </w:rPr>
      </w:pPr>
    </w:p>
    <w:p w:rsidR="00081FE7" w:rsidRPr="00081FE7" w:rsidRDefault="00FC14D0" w:rsidP="00081FE7">
      <w:pPr>
        <w:spacing w:after="2" w:line="259" w:lineRule="auto"/>
        <w:jc w:val="both"/>
        <w:rPr>
          <w:rFonts w:ascii="Cambria" w:eastAsia="Calibri" w:hAnsi="Cambria" w:cs="Calibri"/>
          <w:sz w:val="22"/>
        </w:rPr>
      </w:pPr>
      <w:r w:rsidRPr="00FC14D0">
        <w:rPr>
          <w:rFonts w:ascii="Cambria" w:eastAsia="Calibri" w:hAnsi="Cambria" w:cs="Calibri"/>
          <w:sz w:val="22"/>
        </w:rPr>
        <w:t>Proteger la economía nacional a través de productos de inteligencia financiera que contribuyan a la toma de decisiones, procurando la satisfacción de los derechos fundamentales de los colombianos.</w:t>
      </w:r>
    </w:p>
    <w:p w:rsidR="00081FE7" w:rsidRPr="00081FE7" w:rsidRDefault="00081FE7" w:rsidP="00081FE7">
      <w:pPr>
        <w:spacing w:after="2" w:line="259" w:lineRule="auto"/>
        <w:rPr>
          <w:rFonts w:ascii="Cambria" w:eastAsia="Calibri" w:hAnsi="Cambria" w:cs="Calibri"/>
          <w:sz w:val="22"/>
        </w:rPr>
      </w:pPr>
    </w:p>
    <w:p w:rsidR="00081FE7" w:rsidRPr="00081FE7" w:rsidRDefault="00081FE7" w:rsidP="00081FE7">
      <w:pPr>
        <w:pStyle w:val="Prrafodelista"/>
        <w:numPr>
          <w:ilvl w:val="0"/>
          <w:numId w:val="23"/>
        </w:numPr>
        <w:spacing w:after="2"/>
        <w:jc w:val="both"/>
        <w:rPr>
          <w:rFonts w:ascii="Cambria" w:hAnsi="Cambria"/>
          <w:b/>
        </w:rPr>
      </w:pPr>
      <w:r w:rsidRPr="00081FE7">
        <w:rPr>
          <w:rFonts w:ascii="Cambria" w:hAnsi="Cambria" w:cs="Calibri"/>
          <w:b/>
        </w:rPr>
        <w:t>Misión</w:t>
      </w:r>
    </w:p>
    <w:p w:rsidR="00081FE7" w:rsidRPr="00081FE7" w:rsidRDefault="00081FE7" w:rsidP="00081FE7">
      <w:pPr>
        <w:spacing w:after="2" w:line="259" w:lineRule="auto"/>
        <w:rPr>
          <w:rFonts w:ascii="Cambria" w:eastAsia="Calibri" w:hAnsi="Cambria" w:cs="Calibri"/>
          <w:sz w:val="22"/>
        </w:rPr>
      </w:pPr>
    </w:p>
    <w:p w:rsidR="00081FE7" w:rsidRPr="00081FE7" w:rsidRDefault="00FC14D0" w:rsidP="00081FE7">
      <w:pPr>
        <w:spacing w:after="2" w:line="259" w:lineRule="auto"/>
        <w:jc w:val="both"/>
        <w:rPr>
          <w:rFonts w:ascii="Cambria" w:eastAsia="Calibri" w:hAnsi="Cambria" w:cs="Calibri"/>
          <w:sz w:val="22"/>
        </w:rPr>
      </w:pPr>
      <w:r w:rsidRPr="00FC14D0">
        <w:rPr>
          <w:rFonts w:ascii="Cambria" w:eastAsia="Calibri" w:hAnsi="Cambria" w:cs="Calibri"/>
          <w:sz w:val="22"/>
        </w:rPr>
        <w:t>Anticipar y detectar de manera articulada las amenazas asociadas al LA/FT/FP, con enfoque de seguridad humana.</w:t>
      </w:r>
    </w:p>
    <w:p w:rsidR="00081FE7" w:rsidRPr="00081FE7" w:rsidRDefault="00081FE7" w:rsidP="00081FE7">
      <w:pPr>
        <w:spacing w:after="2" w:line="259" w:lineRule="auto"/>
        <w:rPr>
          <w:rFonts w:ascii="Cambria" w:eastAsia="Calibri" w:hAnsi="Cambria" w:cs="Calibri"/>
          <w:sz w:val="22"/>
        </w:rPr>
      </w:pPr>
    </w:p>
    <w:p w:rsidR="00081FE7" w:rsidRPr="00081FE7" w:rsidRDefault="00081FE7" w:rsidP="00081FE7">
      <w:pPr>
        <w:pStyle w:val="Prrafodelista"/>
        <w:numPr>
          <w:ilvl w:val="0"/>
          <w:numId w:val="23"/>
        </w:numPr>
        <w:spacing w:after="2"/>
        <w:jc w:val="both"/>
        <w:rPr>
          <w:rFonts w:ascii="Cambria" w:hAnsi="Cambria"/>
          <w:b/>
        </w:rPr>
      </w:pPr>
      <w:r w:rsidRPr="00081FE7">
        <w:rPr>
          <w:rFonts w:ascii="Cambria" w:hAnsi="Cambria" w:cs="Calibri"/>
          <w:b/>
        </w:rPr>
        <w:t>Visión</w:t>
      </w:r>
    </w:p>
    <w:p w:rsidR="00081FE7" w:rsidRPr="00081FE7" w:rsidRDefault="00081FE7" w:rsidP="00081FE7">
      <w:pPr>
        <w:spacing w:after="2" w:line="259" w:lineRule="auto"/>
        <w:rPr>
          <w:rFonts w:ascii="Cambria" w:eastAsia="Calibri" w:hAnsi="Cambria" w:cs="Calibri"/>
          <w:sz w:val="22"/>
        </w:rPr>
      </w:pPr>
    </w:p>
    <w:p w:rsidR="00081FE7" w:rsidRPr="00081FE7" w:rsidRDefault="00FC14D0" w:rsidP="00081FE7">
      <w:pPr>
        <w:spacing w:after="2" w:line="259" w:lineRule="auto"/>
        <w:jc w:val="both"/>
        <w:rPr>
          <w:rFonts w:ascii="Cambria" w:eastAsia="Calibri" w:hAnsi="Cambria" w:cs="Calibri"/>
          <w:sz w:val="22"/>
        </w:rPr>
      </w:pPr>
      <w:r w:rsidRPr="00FC14D0">
        <w:rPr>
          <w:rFonts w:ascii="Cambria" w:eastAsia="Calibri" w:hAnsi="Cambria" w:cs="Calibri"/>
          <w:sz w:val="22"/>
        </w:rPr>
        <w:t>En el año 2026, la UIAF es líder en detección nacional e internacional de los ejes articuladores de las economías ilícitas, en la promoción y en el fortalecimiento de la cultura ALA/CFT/CFP, con enfoque en la seguridad humana.</w:t>
      </w:r>
    </w:p>
    <w:p w:rsidR="00081FE7" w:rsidRPr="00081FE7" w:rsidRDefault="00081FE7" w:rsidP="00081FE7">
      <w:pPr>
        <w:spacing w:after="2" w:line="259" w:lineRule="auto"/>
        <w:rPr>
          <w:rFonts w:ascii="Cambria" w:eastAsia="Calibri" w:hAnsi="Cambria" w:cs="Calibri"/>
          <w:sz w:val="22"/>
        </w:rPr>
      </w:pPr>
    </w:p>
    <w:p w:rsidR="00081FE7" w:rsidRPr="00081FE7" w:rsidRDefault="00081FE7" w:rsidP="00081FE7">
      <w:pPr>
        <w:pStyle w:val="Prrafodelista"/>
        <w:numPr>
          <w:ilvl w:val="0"/>
          <w:numId w:val="23"/>
        </w:numPr>
        <w:spacing w:after="2"/>
        <w:jc w:val="both"/>
        <w:rPr>
          <w:rFonts w:ascii="Cambria" w:hAnsi="Cambria"/>
          <w:b/>
        </w:rPr>
      </w:pPr>
      <w:r w:rsidRPr="00081FE7">
        <w:rPr>
          <w:rFonts w:ascii="Cambria" w:hAnsi="Cambria" w:cs="Calibri"/>
          <w:b/>
        </w:rPr>
        <w:t>Objetivos</w:t>
      </w:r>
      <w:r w:rsidR="00FC14D0">
        <w:rPr>
          <w:rFonts w:ascii="Cambria" w:hAnsi="Cambria" w:cs="Calibri"/>
          <w:b/>
        </w:rPr>
        <w:t xml:space="preserve"> Estratégicos</w:t>
      </w:r>
    </w:p>
    <w:p w:rsidR="00081FE7" w:rsidRPr="00081FE7" w:rsidRDefault="00081FE7" w:rsidP="00081FE7">
      <w:pPr>
        <w:spacing w:after="2" w:line="259" w:lineRule="auto"/>
        <w:rPr>
          <w:rFonts w:ascii="Cambria" w:eastAsia="Calibri" w:hAnsi="Cambria" w:cs="Calibri"/>
          <w:sz w:val="22"/>
        </w:rPr>
      </w:pPr>
    </w:p>
    <w:p w:rsidR="00081FE7" w:rsidRPr="00FC14D0" w:rsidRDefault="00FC14D0" w:rsidP="00FC14D0">
      <w:pPr>
        <w:pStyle w:val="Prrafodelista"/>
        <w:numPr>
          <w:ilvl w:val="0"/>
          <w:numId w:val="44"/>
        </w:numPr>
        <w:spacing w:after="2"/>
        <w:jc w:val="both"/>
        <w:rPr>
          <w:rFonts w:ascii="Cambria" w:hAnsi="Cambria" w:cs="Calibri"/>
        </w:rPr>
      </w:pPr>
      <w:r w:rsidRPr="00FC14D0">
        <w:rPr>
          <w:rFonts w:ascii="Cambria" w:hAnsi="Cambria" w:cs="Calibri"/>
          <w:lang w:val="es-ES_tradnl"/>
        </w:rPr>
        <w:t>Aumentar la efectividad en la prevención del lavado de activos y el financiamiento del terrorismo.</w:t>
      </w:r>
    </w:p>
    <w:p w:rsidR="00081FE7" w:rsidRPr="00FC14D0" w:rsidRDefault="00FC14D0" w:rsidP="00063D06">
      <w:pPr>
        <w:pStyle w:val="Prrafodelista"/>
        <w:numPr>
          <w:ilvl w:val="0"/>
          <w:numId w:val="44"/>
        </w:numPr>
        <w:spacing w:after="2"/>
        <w:jc w:val="both"/>
        <w:rPr>
          <w:rFonts w:ascii="Cambria" w:hAnsi="Cambria" w:cs="Calibri"/>
        </w:rPr>
      </w:pPr>
      <w:r w:rsidRPr="00FC14D0">
        <w:rPr>
          <w:rFonts w:ascii="Cambria" w:hAnsi="Cambria" w:cs="Calibri"/>
          <w:lang w:val="es-ES_tradnl"/>
        </w:rPr>
        <w:t>Detectar e identificar las redes criminales de LA/FT nacionales y transnacionales, además de redes de corrupción que permean el control estatal.</w:t>
      </w:r>
    </w:p>
    <w:p w:rsidR="00081FE7" w:rsidRPr="00FC14D0" w:rsidRDefault="00FC14D0" w:rsidP="00FC14D0">
      <w:pPr>
        <w:pStyle w:val="Prrafodelista"/>
        <w:numPr>
          <w:ilvl w:val="0"/>
          <w:numId w:val="44"/>
        </w:numPr>
        <w:spacing w:after="2"/>
        <w:jc w:val="both"/>
        <w:rPr>
          <w:rFonts w:ascii="Cambria" w:hAnsi="Cambria" w:cs="Calibri"/>
        </w:rPr>
      </w:pPr>
      <w:r w:rsidRPr="00FC14D0">
        <w:rPr>
          <w:rFonts w:ascii="Cambria" w:hAnsi="Cambria" w:cs="Calibri"/>
          <w:lang w:val="es-ES_tradnl"/>
        </w:rPr>
        <w:t>implementar proyectos de modernización tecnológica que soporten el desarrollo del Sistema Dinámico y Efectivo (SDE), apalancándose en herramientas innovadoras.</w:t>
      </w:r>
    </w:p>
    <w:p w:rsidR="00FC14D0" w:rsidRPr="00FC14D0" w:rsidRDefault="00FC14D0" w:rsidP="00FC14D0">
      <w:pPr>
        <w:pStyle w:val="Prrafodelista"/>
        <w:numPr>
          <w:ilvl w:val="0"/>
          <w:numId w:val="44"/>
        </w:numPr>
        <w:spacing w:after="2"/>
        <w:jc w:val="both"/>
        <w:rPr>
          <w:rFonts w:ascii="Cambria" w:hAnsi="Cambria" w:cs="Calibri"/>
        </w:rPr>
      </w:pPr>
      <w:r w:rsidRPr="00FC14D0">
        <w:rPr>
          <w:rFonts w:ascii="Cambria" w:hAnsi="Cambria" w:cs="Calibri"/>
          <w:lang w:val="es-ES_tradnl"/>
        </w:rPr>
        <w:lastRenderedPageBreak/>
        <w:t>Mejorar la calificación de Colombia en el marco de la cuarta ronda de evaluaciones mutuas del GAFILAT y preparar al país para la quinta ronda de evaluaciones mutuas del GAFILAT.</w:t>
      </w:r>
    </w:p>
    <w:p w:rsidR="00FC14D0" w:rsidRPr="00FC14D0" w:rsidRDefault="00FC14D0" w:rsidP="00FC14D0">
      <w:pPr>
        <w:pStyle w:val="Prrafodelista"/>
        <w:numPr>
          <w:ilvl w:val="0"/>
          <w:numId w:val="44"/>
        </w:numPr>
        <w:spacing w:after="2"/>
        <w:jc w:val="both"/>
        <w:rPr>
          <w:rFonts w:ascii="Cambria" w:hAnsi="Cambria" w:cs="Calibri"/>
        </w:rPr>
      </w:pPr>
      <w:r w:rsidRPr="00FC14D0">
        <w:rPr>
          <w:rFonts w:ascii="Cambria" w:hAnsi="Cambria" w:cs="Calibri"/>
          <w:lang w:val="es-ES_tradnl"/>
        </w:rPr>
        <w:t>Posicionar a la UIAF como una UIF referente y líder a nivel mundial.</w:t>
      </w:r>
    </w:p>
    <w:p w:rsidR="00FC14D0" w:rsidRPr="00FC14D0" w:rsidRDefault="00FC14D0" w:rsidP="00FC14D0">
      <w:pPr>
        <w:pStyle w:val="Prrafodelista"/>
        <w:numPr>
          <w:ilvl w:val="0"/>
          <w:numId w:val="44"/>
        </w:numPr>
        <w:spacing w:after="2"/>
        <w:jc w:val="both"/>
        <w:rPr>
          <w:rFonts w:ascii="Cambria" w:hAnsi="Cambria" w:cs="Calibri"/>
        </w:rPr>
      </w:pPr>
      <w:r w:rsidRPr="00FC14D0">
        <w:rPr>
          <w:rFonts w:ascii="Cambria" w:hAnsi="Cambria" w:cs="Calibri"/>
          <w:lang w:val="es-ES_tradnl"/>
        </w:rPr>
        <w:t>Lograr que la inteligencia financiera llegue a todas las regiones del país.</w:t>
      </w:r>
    </w:p>
    <w:p w:rsidR="00FC14D0" w:rsidRPr="00FC14D0" w:rsidRDefault="00FC14D0" w:rsidP="00FC14D0">
      <w:pPr>
        <w:pStyle w:val="Prrafodelista"/>
        <w:numPr>
          <w:ilvl w:val="0"/>
          <w:numId w:val="44"/>
        </w:numPr>
        <w:spacing w:after="2"/>
        <w:jc w:val="both"/>
        <w:rPr>
          <w:rFonts w:ascii="Cambria" w:hAnsi="Cambria" w:cs="Calibri"/>
        </w:rPr>
      </w:pPr>
      <w:r w:rsidRPr="00FC14D0">
        <w:rPr>
          <w:rFonts w:ascii="Cambria" w:hAnsi="Cambria" w:cs="Calibri"/>
          <w:lang w:val="es-ES_tradnl"/>
        </w:rPr>
        <w:t>Incrementar la capacidad de apoyo a las áreas misionales y de desempeño institucional, optimizando los recursos físicos, humanos, financieros y la eficiencia y calidad en el desarrollo de sus procesos.</w:t>
      </w:r>
    </w:p>
    <w:p w:rsidR="00081FE7" w:rsidRPr="00081FE7" w:rsidRDefault="00081FE7" w:rsidP="00081FE7">
      <w:pPr>
        <w:spacing w:after="2" w:line="259" w:lineRule="auto"/>
        <w:rPr>
          <w:rFonts w:ascii="Cambria" w:eastAsia="Calibri" w:hAnsi="Cambria" w:cs="Calibri"/>
          <w:sz w:val="22"/>
        </w:rPr>
      </w:pPr>
    </w:p>
    <w:p w:rsidR="00081FE7" w:rsidRPr="00081FE7" w:rsidRDefault="00081FE7" w:rsidP="00081FE7">
      <w:pPr>
        <w:pStyle w:val="Ttulo1"/>
        <w:numPr>
          <w:ilvl w:val="2"/>
          <w:numId w:val="21"/>
        </w:numPr>
        <w:rPr>
          <w:color w:val="auto"/>
          <w:sz w:val="22"/>
        </w:rPr>
      </w:pPr>
      <w:r w:rsidRPr="00081FE7">
        <w:rPr>
          <w:color w:val="auto"/>
          <w:sz w:val="22"/>
        </w:rPr>
        <w:t>Panorama de Posibles Hechos de Corrupción</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Para la Unidad de Información y Análisis Financiero – UIAF es de gran importancia cumplir con la misión y alcanzar los objetivos institucionales sobre la base de una cultura de legalidad, de transparencia y buenas prácticas, rechazando cualquier acto de corrupción que pueda presentarse tanto por parte de sus servidores públicos como de los grupos de interés y gestionando las acciones necesarias para combatir la presencia de cualquier manifestación de corrupción.</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De acuerdo con lo establecido en el Componente de Administración del Riesgo del Modelo Estándar de Control Interno – MECI</w:t>
      </w:r>
      <w:r w:rsidR="00666068">
        <w:rPr>
          <w:rFonts w:ascii="Cambria" w:hAnsi="Cambria"/>
          <w:sz w:val="22"/>
        </w:rPr>
        <w:t xml:space="preserve"> (actualizado a través del Modelo Integrado de Planeación y Gestión – MIPG en su dimensión de Control Interno)</w:t>
      </w:r>
      <w:r w:rsidRPr="00081FE7">
        <w:rPr>
          <w:rFonts w:ascii="Cambria" w:hAnsi="Cambria"/>
          <w:sz w:val="22"/>
        </w:rPr>
        <w:t>, la administración del riesgo faculta a la entidad para emprender las acciones de control necesarias que le permitan el manejo de los eventos que puedan afectar negativamente el logro de los objetivos institucionales.</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 xml:space="preserve">Para la administración de riesgos tanto de gestión como de corrupción de la UIAF, se ha tenido en cuenta los lineamientos definidos por el Departamento Administrativo de la Función Pública a través de la “Guía para la Administración del Riesgo y el diseño de controles en entidades públicas Versión </w:t>
      </w:r>
      <w:r w:rsidR="00FE0A6C">
        <w:rPr>
          <w:rFonts w:ascii="Cambria" w:hAnsi="Cambria"/>
          <w:sz w:val="22"/>
        </w:rPr>
        <w:t>5</w:t>
      </w:r>
      <w:r w:rsidRPr="00081FE7">
        <w:rPr>
          <w:rFonts w:ascii="Cambria" w:hAnsi="Cambria"/>
          <w:sz w:val="22"/>
        </w:rPr>
        <w:t>” y las “Estrategias para la Construcción del Plan Anticorrupción y de Atención al Ciudadano Versión 2”, para identificar, valorar, establecer los controles y definir las acciones de mejora para su tratamiento, partiendo de los objetivos de cada proceso.</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 xml:space="preserve">Como resultado de aplicación de la “Guía para la Administración del Riesgo y el diseño de controles en entidades públicas Versión </w:t>
      </w:r>
      <w:r w:rsidR="00FE0A6C">
        <w:rPr>
          <w:rFonts w:ascii="Cambria" w:hAnsi="Cambria"/>
          <w:sz w:val="22"/>
        </w:rPr>
        <w:t>5</w:t>
      </w:r>
      <w:r w:rsidRPr="00081FE7">
        <w:rPr>
          <w:rFonts w:ascii="Cambria" w:hAnsi="Cambria"/>
          <w:sz w:val="22"/>
        </w:rPr>
        <w:t xml:space="preserve">”, se </w:t>
      </w:r>
      <w:r w:rsidR="00FE0A6C">
        <w:rPr>
          <w:rFonts w:ascii="Cambria" w:hAnsi="Cambria"/>
          <w:sz w:val="22"/>
        </w:rPr>
        <w:t>actualizó y adoptó la Política de Administración del Riesgo, cuyo proceso de actualización de los respectivos mapas de riesgos por proceso se realizará durante la vigencia 2023.</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lastRenderedPageBreak/>
        <w:t>Así mismo, se analizó la información registrada en el Sistema de Peticiones, Quejas, Reclamos y Sugerencias (PQRS) en las últimas cinco (5) vigencias (201</w:t>
      </w:r>
      <w:r w:rsidR="00FE0A6C">
        <w:rPr>
          <w:rFonts w:ascii="Cambria" w:hAnsi="Cambria"/>
          <w:sz w:val="22"/>
        </w:rPr>
        <w:t>8</w:t>
      </w:r>
      <w:r w:rsidRPr="00081FE7">
        <w:rPr>
          <w:rFonts w:ascii="Cambria" w:hAnsi="Cambria"/>
          <w:sz w:val="22"/>
        </w:rPr>
        <w:t xml:space="preserve"> al 202</w:t>
      </w:r>
      <w:r w:rsidR="00FE0A6C">
        <w:rPr>
          <w:rFonts w:ascii="Cambria" w:hAnsi="Cambria"/>
          <w:sz w:val="22"/>
        </w:rPr>
        <w:t>2</w:t>
      </w:r>
      <w:r w:rsidRPr="00081FE7">
        <w:rPr>
          <w:rFonts w:ascii="Cambria" w:hAnsi="Cambria"/>
          <w:sz w:val="22"/>
        </w:rPr>
        <w:t>), identificando que no se han presentado denuncias por parte de los ciudadanos relacionadas con posibles hechos de corrupción de los servidores públicos de la UIAF.</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63D06">
        <w:rPr>
          <w:rFonts w:ascii="Cambria" w:hAnsi="Cambria"/>
          <w:sz w:val="22"/>
        </w:rPr>
        <w:t xml:space="preserve">Mediante resolución </w:t>
      </w:r>
      <w:r w:rsidR="00063D06" w:rsidRPr="00063D06">
        <w:rPr>
          <w:rFonts w:ascii="Cambria" w:hAnsi="Cambria"/>
          <w:sz w:val="22"/>
        </w:rPr>
        <w:t>236</w:t>
      </w:r>
      <w:r w:rsidRPr="00063D06">
        <w:rPr>
          <w:rFonts w:ascii="Cambria" w:hAnsi="Cambria"/>
          <w:sz w:val="22"/>
        </w:rPr>
        <w:t xml:space="preserve"> de </w:t>
      </w:r>
      <w:r w:rsidR="00063D06" w:rsidRPr="00063D06">
        <w:rPr>
          <w:rFonts w:ascii="Cambria" w:hAnsi="Cambria"/>
          <w:sz w:val="22"/>
        </w:rPr>
        <w:t>agosto</w:t>
      </w:r>
      <w:r w:rsidRPr="00063D06">
        <w:rPr>
          <w:rFonts w:ascii="Cambria" w:hAnsi="Cambria"/>
          <w:sz w:val="22"/>
        </w:rPr>
        <w:t xml:space="preserve"> 2</w:t>
      </w:r>
      <w:r w:rsidR="00063D06" w:rsidRPr="00063D06">
        <w:rPr>
          <w:rFonts w:ascii="Cambria" w:hAnsi="Cambria"/>
          <w:sz w:val="22"/>
        </w:rPr>
        <w:t>5 de 2022</w:t>
      </w:r>
      <w:r w:rsidRPr="00063D06">
        <w:rPr>
          <w:rFonts w:ascii="Cambria" w:hAnsi="Cambria"/>
          <w:sz w:val="22"/>
        </w:rPr>
        <w:t>, se</w:t>
      </w:r>
      <w:r w:rsidRPr="00081FE7">
        <w:rPr>
          <w:rFonts w:ascii="Cambria" w:hAnsi="Cambria"/>
          <w:sz w:val="22"/>
        </w:rPr>
        <w:t xml:space="preserve"> actualizó la Política de Administración de Riesgos de la UIAF, estableciendo: “</w:t>
      </w:r>
      <w:r w:rsidR="00063D06" w:rsidRPr="00063D06">
        <w:rPr>
          <w:rFonts w:ascii="Cambria" w:hAnsi="Cambria"/>
          <w:i/>
          <w:sz w:val="22"/>
        </w:rPr>
        <w:t>La Unidad de Información y Análisis Financiero - UIAF se compromete a establecer y mantener acciones efectivas con la participación de todos los servidores públicos, contratistas y proveedores de la entidad encaminadas a reducir la posibilidad de materialización de las situaciones de amenaza de aquellos eventos internos o externos que puedan afectar el logro de los objetivos institucionales, la calidad de sus productos y servicios y el cumplimiento de su misión y visión</w:t>
      </w:r>
      <w:r w:rsidR="00063D06">
        <w:rPr>
          <w:rFonts w:ascii="Cambria" w:hAnsi="Cambria"/>
          <w:i/>
          <w:sz w:val="22"/>
        </w:rPr>
        <w:t>.</w:t>
      </w:r>
      <w:r w:rsidRPr="00081FE7">
        <w:rPr>
          <w:rFonts w:ascii="Cambria" w:hAnsi="Cambria"/>
          <w:sz w:val="22"/>
        </w:rPr>
        <w:t>”</w:t>
      </w:r>
    </w:p>
    <w:p w:rsidR="00081FE7" w:rsidRPr="00081FE7" w:rsidRDefault="00081FE7" w:rsidP="00081FE7">
      <w:pPr>
        <w:spacing w:after="2" w:line="259" w:lineRule="auto"/>
        <w:rPr>
          <w:rFonts w:ascii="Cambria" w:hAnsi="Cambria"/>
          <w:sz w:val="22"/>
        </w:rPr>
      </w:pPr>
    </w:p>
    <w:p w:rsidR="00081FE7" w:rsidRPr="00081FE7" w:rsidRDefault="00081FE7" w:rsidP="00081FE7">
      <w:pPr>
        <w:pStyle w:val="Ttulo1"/>
        <w:numPr>
          <w:ilvl w:val="2"/>
          <w:numId w:val="21"/>
        </w:numPr>
        <w:rPr>
          <w:color w:val="auto"/>
          <w:sz w:val="22"/>
        </w:rPr>
      </w:pPr>
      <w:r w:rsidRPr="00081FE7">
        <w:rPr>
          <w:color w:val="auto"/>
          <w:sz w:val="22"/>
        </w:rPr>
        <w:t>Diagnóstico de los Trámites y Servicios de la Entidad</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 xml:space="preserve">Se constató que la UIAF realizó la identificación y caracterización de tres (3) servicios definidos como “Otros Procedimientos Administrativos – </w:t>
      </w:r>
      <w:proofErr w:type="spellStart"/>
      <w:r w:rsidRPr="00081FE7">
        <w:rPr>
          <w:rFonts w:ascii="Cambria" w:hAnsi="Cambria"/>
          <w:sz w:val="22"/>
        </w:rPr>
        <w:t>OPA’s</w:t>
      </w:r>
      <w:proofErr w:type="spellEnd"/>
      <w:r w:rsidRPr="00081FE7">
        <w:rPr>
          <w:rFonts w:ascii="Cambria" w:hAnsi="Cambria"/>
          <w:sz w:val="22"/>
        </w:rPr>
        <w:t>”, que fueron registrados en el Sistema Único de Información de Trámites SUIT en el año 2013 y actualizados por última vez en la vigencia 2015.</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 xml:space="preserve">En la vigencia 2017 se analizaron las diferentes alternativas de optimizarlos, concluyendo que no era posible fusionar los servicios “Solicitud de Código en Línea” con “Solicitud de Acceso a SIREL” y, de otra parte, no era posible adelantar reformas normativas para su optimización, y al inicio del 2018, se coordinó una reunión con del Departamento Administrativo de la Función Pública – DAFP, en la que conjuntamente se revisaron los Otros Procedimientos Administrativos – </w:t>
      </w:r>
      <w:proofErr w:type="spellStart"/>
      <w:r w:rsidRPr="00081FE7">
        <w:rPr>
          <w:rFonts w:ascii="Cambria" w:hAnsi="Cambria"/>
          <w:sz w:val="22"/>
        </w:rPr>
        <w:t>OPA’s</w:t>
      </w:r>
      <w:proofErr w:type="spellEnd"/>
      <w:r w:rsidRPr="00081FE7">
        <w:rPr>
          <w:rFonts w:ascii="Cambria" w:hAnsi="Cambria"/>
          <w:sz w:val="22"/>
        </w:rPr>
        <w:t xml:space="preserve"> a la luz de los conceptos y definiciones establecidos en la Resolución 1099 del 13 de octubre de 2017, en la cual se analizó:</w:t>
      </w:r>
    </w:p>
    <w:p w:rsidR="00081FE7" w:rsidRPr="00081FE7" w:rsidRDefault="00081FE7" w:rsidP="00081FE7">
      <w:pPr>
        <w:spacing w:after="2" w:line="259" w:lineRule="auto"/>
        <w:rPr>
          <w:rFonts w:ascii="Cambria" w:hAnsi="Cambria"/>
          <w:sz w:val="22"/>
        </w:rPr>
      </w:pPr>
    </w:p>
    <w:p w:rsidR="00081FE7" w:rsidRPr="00081FE7" w:rsidRDefault="00081FE7" w:rsidP="00081FE7">
      <w:pPr>
        <w:numPr>
          <w:ilvl w:val="0"/>
          <w:numId w:val="41"/>
        </w:numPr>
        <w:spacing w:after="2" w:line="259" w:lineRule="auto"/>
        <w:jc w:val="both"/>
        <w:rPr>
          <w:rFonts w:ascii="Cambria" w:hAnsi="Cambria"/>
          <w:sz w:val="22"/>
        </w:rPr>
      </w:pPr>
      <w:r w:rsidRPr="00081FE7">
        <w:rPr>
          <w:rFonts w:ascii="Cambria" w:hAnsi="Cambria"/>
          <w:sz w:val="22"/>
        </w:rPr>
        <w:t>“</w:t>
      </w:r>
      <w:r w:rsidRPr="00081FE7">
        <w:rPr>
          <w:rFonts w:ascii="Cambria" w:hAnsi="Cambria"/>
          <w:b/>
          <w:sz w:val="22"/>
        </w:rPr>
        <w:t>Trámite:</w:t>
      </w:r>
      <w:r w:rsidRPr="00081FE7">
        <w:rPr>
          <w:rFonts w:ascii="Cambria" w:hAnsi="Cambria"/>
          <w:sz w:val="22"/>
        </w:rPr>
        <w:t xml:space="preserve"> Conjunto de requisitos, pasos, o acciones reguladas por el Estado, dentro de un proceso misional, que deben efectuar los ciudadanos, usuarios o grupos de interés ante una entidad u organismo de la administración pública o particular que ejerce funciones administrativas, para acceder a un derecho, ejercer una actividad o cumplir con una obligación, prevista o autorizada por la ley.”</w:t>
      </w:r>
    </w:p>
    <w:p w:rsidR="00081FE7" w:rsidRPr="00081FE7" w:rsidRDefault="00081FE7" w:rsidP="00081FE7">
      <w:pPr>
        <w:numPr>
          <w:ilvl w:val="0"/>
          <w:numId w:val="41"/>
        </w:numPr>
        <w:spacing w:after="2" w:line="259" w:lineRule="auto"/>
        <w:jc w:val="both"/>
        <w:rPr>
          <w:rFonts w:ascii="Cambria" w:hAnsi="Cambria"/>
          <w:sz w:val="22"/>
        </w:rPr>
      </w:pPr>
      <w:r w:rsidRPr="00081FE7">
        <w:rPr>
          <w:rFonts w:ascii="Cambria" w:hAnsi="Cambria"/>
          <w:sz w:val="22"/>
        </w:rPr>
        <w:t>“</w:t>
      </w:r>
      <w:r w:rsidRPr="00081FE7">
        <w:rPr>
          <w:rFonts w:ascii="Cambria" w:hAnsi="Cambria"/>
          <w:b/>
          <w:sz w:val="22"/>
        </w:rPr>
        <w:t>Otro Procedimiento Administrativo – OPA:</w:t>
      </w:r>
      <w:r w:rsidRPr="00081FE7">
        <w:rPr>
          <w:rFonts w:ascii="Cambria" w:hAnsi="Cambria"/>
          <w:sz w:val="22"/>
        </w:rPr>
        <w:t xml:space="preserve"> Conjunto de requisitos, pasos o acciones dentro de un proceso misional, que determina una entidad u organismo de la administración pública o particular que ejerce funciones administrativas para permitir el acceso de los ciudadanos, usuarios o grupos de interés a los beneficios derivados de </w:t>
      </w:r>
      <w:r w:rsidRPr="00081FE7">
        <w:rPr>
          <w:rFonts w:ascii="Cambria" w:hAnsi="Cambria"/>
          <w:sz w:val="22"/>
        </w:rPr>
        <w:lastRenderedPageBreak/>
        <w:t>programas o estrategias cuya creación, adopción e implementación es potestativa de la entidad.”</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 xml:space="preserve">Por lo que se concluye que la UIAF no tiene “Trámites” ni “Otros Procedimientos Administrativos – </w:t>
      </w:r>
      <w:proofErr w:type="spellStart"/>
      <w:r w:rsidRPr="00081FE7">
        <w:rPr>
          <w:rFonts w:ascii="Cambria" w:hAnsi="Cambria"/>
          <w:sz w:val="22"/>
        </w:rPr>
        <w:t>OPA’s</w:t>
      </w:r>
      <w:proofErr w:type="spellEnd"/>
      <w:r w:rsidRPr="00081FE7">
        <w:rPr>
          <w:rFonts w:ascii="Cambria" w:hAnsi="Cambria"/>
          <w:sz w:val="22"/>
        </w:rPr>
        <w:t xml:space="preserve">”, así como ninguna ley que los establezca o los autorice y en consecuencia se determina que la UIAF solicitaría a través del Sistema SUIT la eliminación de los tres (3) servicios definidos como “Otros Procedimientos Administrativos – </w:t>
      </w:r>
      <w:proofErr w:type="spellStart"/>
      <w:r w:rsidRPr="00081FE7">
        <w:rPr>
          <w:rFonts w:ascii="Cambria" w:hAnsi="Cambria"/>
          <w:sz w:val="22"/>
        </w:rPr>
        <w:t>OPA’s</w:t>
      </w:r>
      <w:proofErr w:type="spellEnd"/>
      <w:r w:rsidRPr="00081FE7">
        <w:rPr>
          <w:rFonts w:ascii="Cambria" w:hAnsi="Cambria"/>
          <w:sz w:val="22"/>
        </w:rPr>
        <w:t xml:space="preserve">” inscritos desde el año 2013, con la respectiva justificación ajustada a la normatividad vigente. En respuesta a la solicitud enviada por la UIAF a través del Sistema SUIT, el Departamento Administrativo de la Función Pública – DAFP, conceptúo favorablemente y autorizó la eliminación de los tres </w:t>
      </w:r>
      <w:proofErr w:type="spellStart"/>
      <w:r w:rsidRPr="00081FE7">
        <w:rPr>
          <w:rFonts w:ascii="Cambria" w:hAnsi="Cambria"/>
          <w:sz w:val="22"/>
        </w:rPr>
        <w:t>OPA’s</w:t>
      </w:r>
      <w:proofErr w:type="spellEnd"/>
      <w:r w:rsidRPr="00081FE7">
        <w:rPr>
          <w:rFonts w:ascii="Cambria" w:hAnsi="Cambria"/>
          <w:sz w:val="22"/>
        </w:rPr>
        <w:t xml:space="preserve"> a cargo de la Entidad.</w:t>
      </w:r>
    </w:p>
    <w:p w:rsidR="00081FE7" w:rsidRPr="00081FE7" w:rsidRDefault="00081FE7" w:rsidP="00081FE7">
      <w:pPr>
        <w:spacing w:after="2" w:line="259" w:lineRule="auto"/>
        <w:rPr>
          <w:rFonts w:ascii="Cambria" w:hAnsi="Cambria"/>
          <w:sz w:val="22"/>
        </w:rPr>
      </w:pPr>
    </w:p>
    <w:p w:rsidR="00081FE7" w:rsidRPr="00081FE7" w:rsidRDefault="00081FE7" w:rsidP="00081FE7">
      <w:pPr>
        <w:pStyle w:val="Ttulo1"/>
        <w:numPr>
          <w:ilvl w:val="2"/>
          <w:numId w:val="21"/>
        </w:numPr>
        <w:rPr>
          <w:color w:val="auto"/>
          <w:sz w:val="22"/>
        </w:rPr>
      </w:pPr>
      <w:r w:rsidRPr="00081FE7">
        <w:rPr>
          <w:color w:val="auto"/>
          <w:sz w:val="22"/>
        </w:rPr>
        <w:t>Necesidades de Información Dirigida a más Usuarios y Ciudadanos (Rendición de Cuentas)</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El proceso de rendición de cuentas y participación ciudadana trae consigo variados beneficios y oportunidades de mejora para la gestión de las entidades, en la medida en que se comparte de manera transparente y se retroalimenta con la ciudadanía la información de su gestión, se incrementan los niveles de credibilidad institucional y ofrece a los ciudadanos los mecanismos para ejercer el derecho a participar y ejercer control social a la gestión de la entidad.</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La ley 1757 de 2015, por la cual se dictan disposiciones en materia de promoción y protección del derecho a la participación democrática, define la rendición de cuentas como “</w:t>
      </w:r>
      <w:r w:rsidRPr="00081FE7">
        <w:rPr>
          <w:rFonts w:ascii="Cambria" w:hAnsi="Cambria"/>
          <w:i/>
          <w:sz w:val="22"/>
        </w:rPr>
        <w:t>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w:t>
      </w:r>
      <w:r w:rsidRPr="00081FE7">
        <w:rPr>
          <w:rFonts w:ascii="Cambria" w:hAnsi="Cambria"/>
          <w:sz w:val="22"/>
        </w:rPr>
        <w:t>.”</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La rendición de cuentas es una oportunidad para que la sociedad evidencie los resultados del cumplimiento del propósito fundamental (misión, razón de ser u objeto social) para el cual fue creada la entidad y la entrega efectiva de bienes y servicios orientados a satisfacer las necesidades o problemas sociales de sus grupos de valor. Así mismo, permite visibilizar las acciones que desarrolla para el cumplimiento de los derechos de los ciudadanos y su contribución a la construcción de la paz.</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lastRenderedPageBreak/>
        <w:t>Abordar la rendición de cuentas desde el enfoque de derechos humanos y paz amplía el contenido y la forma de llevar a cabo el proceso de rendición de cuentas. Además de informar sobre cómo se protegen y garantizan los derechos, las entidades deben cumplir los principios de los derechos humanos en el proceso de diálogo entre la ciudadanía y el Estado, haciendo este proceso más responsable, participativo e inclusivo. De esta manera, se contribuye a la garantía de los derechos civiles y políticos.</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En este sentido la rendición de cuentas basado en derechos humanos de manera simultánea aporta a la construcción de paz, en tanto, ésta en su sentido amplio y profundo, implica el resultado de transformaciones económicas, políticas y sociales y la plena vigencia de los Derechos Humanos, el reconocimiento de la pluralidad y el respeto de la autonomía en las decisiones sobre la vida del territorio y la transformación pacífica de los conflictos.</w:t>
      </w:r>
    </w:p>
    <w:p w:rsidR="00706DEF" w:rsidRDefault="00706DEF" w:rsidP="00081FE7">
      <w:pPr>
        <w:spacing w:after="2" w:line="259" w:lineRule="auto"/>
        <w:rPr>
          <w:rFonts w:ascii="Cambria" w:hAnsi="Cambria"/>
          <w:sz w:val="22"/>
        </w:rPr>
      </w:pPr>
    </w:p>
    <w:p w:rsidR="00081FE7" w:rsidRPr="00081FE7" w:rsidRDefault="00081FE7" w:rsidP="00706DEF">
      <w:pPr>
        <w:spacing w:after="2" w:line="259" w:lineRule="auto"/>
        <w:jc w:val="both"/>
        <w:rPr>
          <w:rFonts w:ascii="Cambria" w:hAnsi="Cambria"/>
          <w:sz w:val="22"/>
        </w:rPr>
      </w:pPr>
      <w:r w:rsidRPr="00081FE7">
        <w:rPr>
          <w:rFonts w:ascii="Cambria" w:hAnsi="Cambria"/>
          <w:sz w:val="22"/>
        </w:rPr>
        <w:t>El diagnóstico realizado a la UIAF en esta materia, permitió identificar las siguientes situaciones:</w:t>
      </w:r>
    </w:p>
    <w:p w:rsidR="00081FE7" w:rsidRPr="00081FE7" w:rsidRDefault="00081FE7" w:rsidP="00081FE7">
      <w:pPr>
        <w:spacing w:after="2" w:line="259" w:lineRule="auto"/>
        <w:rPr>
          <w:rFonts w:ascii="Cambria" w:hAnsi="Cambria"/>
          <w:sz w:val="22"/>
        </w:rPr>
      </w:pPr>
    </w:p>
    <w:p w:rsidR="00081FE7" w:rsidRDefault="00706DEF" w:rsidP="00081FE7">
      <w:pPr>
        <w:pStyle w:val="Prrafodelista"/>
        <w:numPr>
          <w:ilvl w:val="0"/>
          <w:numId w:val="35"/>
        </w:numPr>
        <w:spacing w:after="2"/>
        <w:jc w:val="both"/>
        <w:rPr>
          <w:rFonts w:ascii="Cambria" w:hAnsi="Cambria"/>
        </w:rPr>
      </w:pPr>
      <w:r>
        <w:rPr>
          <w:rFonts w:ascii="Cambria" w:hAnsi="Cambria"/>
        </w:rPr>
        <w:t>A partir del proceso de rediseño institucional realizado en la vi</w:t>
      </w:r>
      <w:r w:rsidR="00B67EF4">
        <w:rPr>
          <w:rFonts w:ascii="Cambria" w:hAnsi="Cambria"/>
        </w:rPr>
        <w:t>gencia 2022, l</w:t>
      </w:r>
      <w:r w:rsidR="00081FE7" w:rsidRPr="00081FE7">
        <w:rPr>
          <w:rFonts w:ascii="Cambria" w:hAnsi="Cambria"/>
        </w:rPr>
        <w:t xml:space="preserve">a entidad </w:t>
      </w:r>
      <w:r w:rsidR="00B67EF4">
        <w:rPr>
          <w:rFonts w:ascii="Cambria" w:hAnsi="Cambria"/>
        </w:rPr>
        <w:t xml:space="preserve">conformó el Grupo Interno de Trabajo de Comunicaciones, el cual se ubica </w:t>
      </w:r>
      <w:r w:rsidR="00081FE7" w:rsidRPr="00081FE7">
        <w:rPr>
          <w:rFonts w:ascii="Cambria" w:hAnsi="Cambria"/>
        </w:rPr>
        <w:t>orgánica y funcional</w:t>
      </w:r>
      <w:r w:rsidR="00B67EF4">
        <w:rPr>
          <w:rFonts w:ascii="Cambria" w:hAnsi="Cambria"/>
        </w:rPr>
        <w:t xml:space="preserve">mente en la Dirección General, con el propósito de ejecutar </w:t>
      </w:r>
      <w:r w:rsidR="00081FE7" w:rsidRPr="00081FE7">
        <w:rPr>
          <w:rFonts w:ascii="Cambria" w:hAnsi="Cambria"/>
        </w:rPr>
        <w:t xml:space="preserve">los lineamientos que en materia de comunicación interna y externa son emitidos por la Dirección General y que se articule </w:t>
      </w:r>
      <w:r w:rsidR="00B67EF4">
        <w:rPr>
          <w:rFonts w:ascii="Cambria" w:hAnsi="Cambria"/>
        </w:rPr>
        <w:t xml:space="preserve">de manera armónica </w:t>
      </w:r>
      <w:r w:rsidR="00081FE7" w:rsidRPr="00081FE7">
        <w:rPr>
          <w:rFonts w:ascii="Cambria" w:hAnsi="Cambria"/>
        </w:rPr>
        <w:t xml:space="preserve">con </w:t>
      </w:r>
      <w:r w:rsidR="00B67EF4">
        <w:rPr>
          <w:rFonts w:ascii="Cambria" w:hAnsi="Cambria"/>
        </w:rPr>
        <w:t xml:space="preserve">las </w:t>
      </w:r>
      <w:r w:rsidR="00081FE7" w:rsidRPr="00081FE7">
        <w:rPr>
          <w:rFonts w:ascii="Cambria" w:hAnsi="Cambria"/>
        </w:rPr>
        <w:t xml:space="preserve">áreas </w:t>
      </w:r>
      <w:r w:rsidR="00B67EF4">
        <w:rPr>
          <w:rFonts w:ascii="Cambria" w:hAnsi="Cambria"/>
        </w:rPr>
        <w:t xml:space="preserve">misionales, las áreas de </w:t>
      </w:r>
      <w:r w:rsidR="00081FE7" w:rsidRPr="00081FE7">
        <w:rPr>
          <w:rFonts w:ascii="Cambria" w:hAnsi="Cambria"/>
        </w:rPr>
        <w:t>apoyo, control interno y de atención al ciudadano.</w:t>
      </w:r>
    </w:p>
    <w:p w:rsidR="00B67EF4" w:rsidRPr="00081FE7" w:rsidRDefault="00B67EF4" w:rsidP="00B67EF4">
      <w:pPr>
        <w:pStyle w:val="Prrafodelista"/>
        <w:spacing w:after="2"/>
        <w:ind w:left="360"/>
        <w:jc w:val="both"/>
        <w:rPr>
          <w:rFonts w:ascii="Cambria" w:hAnsi="Cambria"/>
        </w:rPr>
      </w:pPr>
    </w:p>
    <w:p w:rsidR="00081FE7" w:rsidRPr="00B67EF4" w:rsidRDefault="00B67EF4" w:rsidP="00063D06">
      <w:pPr>
        <w:pStyle w:val="Prrafodelista"/>
        <w:numPr>
          <w:ilvl w:val="0"/>
          <w:numId w:val="35"/>
        </w:numPr>
        <w:spacing w:after="3" w:line="248" w:lineRule="auto"/>
        <w:ind w:right="55"/>
        <w:jc w:val="both"/>
        <w:rPr>
          <w:rFonts w:ascii="Cambria" w:hAnsi="Cambria"/>
        </w:rPr>
      </w:pPr>
      <w:r w:rsidRPr="00B67EF4">
        <w:rPr>
          <w:rFonts w:ascii="Cambria" w:hAnsi="Cambria"/>
        </w:rPr>
        <w:t xml:space="preserve">Durante la vigencia </w:t>
      </w:r>
      <w:r w:rsidR="00081FE7" w:rsidRPr="00B67EF4">
        <w:rPr>
          <w:rFonts w:ascii="Cambria" w:hAnsi="Cambria"/>
        </w:rPr>
        <w:t>20</w:t>
      </w:r>
      <w:r w:rsidRPr="00B67EF4">
        <w:rPr>
          <w:rFonts w:ascii="Cambria" w:hAnsi="Cambria"/>
        </w:rPr>
        <w:t>22</w:t>
      </w:r>
      <w:r w:rsidR="00081FE7" w:rsidRPr="00B67EF4">
        <w:rPr>
          <w:rFonts w:ascii="Cambria" w:hAnsi="Cambria"/>
        </w:rPr>
        <w:t>, la UIAF adelantó un proceso de revisión</w:t>
      </w:r>
      <w:r w:rsidRPr="00B67EF4">
        <w:rPr>
          <w:rFonts w:ascii="Cambria" w:hAnsi="Cambria"/>
        </w:rPr>
        <w:t xml:space="preserve">, migración </w:t>
      </w:r>
      <w:r w:rsidR="00081FE7" w:rsidRPr="00B67EF4">
        <w:rPr>
          <w:rFonts w:ascii="Cambria" w:hAnsi="Cambria"/>
        </w:rPr>
        <w:t>y actualización</w:t>
      </w:r>
      <w:r w:rsidRPr="00B67EF4">
        <w:rPr>
          <w:rFonts w:ascii="Cambria" w:hAnsi="Cambria"/>
        </w:rPr>
        <w:t xml:space="preserve"> de los servicios del</w:t>
      </w:r>
      <w:r w:rsidR="00081FE7" w:rsidRPr="00B67EF4">
        <w:rPr>
          <w:rFonts w:ascii="Cambria" w:hAnsi="Cambria"/>
        </w:rPr>
        <w:t xml:space="preserve"> sitio web oficial de la entidad, ajustado a los requisitos </w:t>
      </w:r>
      <w:r w:rsidRPr="00B67EF4">
        <w:rPr>
          <w:rFonts w:ascii="Cambria" w:hAnsi="Cambria"/>
        </w:rPr>
        <w:t>establecidos por el Ministerio de las Tecnologías de la Información y las Comunicaciones – MINTIC, a través de la Resolución 1519 de 2020</w:t>
      </w:r>
      <w:r w:rsidR="00081FE7" w:rsidRPr="00B67EF4">
        <w:rPr>
          <w:rFonts w:ascii="Cambria" w:hAnsi="Cambria"/>
        </w:rPr>
        <w:t>, con el propósito de que la información que se publique allí logre la finalidad de servir de instrumento de control social para la ciudadanía.</w:t>
      </w:r>
    </w:p>
    <w:p w:rsidR="00081FE7" w:rsidRPr="00081FE7" w:rsidRDefault="00081FE7" w:rsidP="00081FE7">
      <w:pPr>
        <w:spacing w:after="2" w:line="259" w:lineRule="auto"/>
        <w:rPr>
          <w:rFonts w:ascii="Cambria" w:hAnsi="Cambria"/>
          <w:sz w:val="22"/>
        </w:rPr>
      </w:pPr>
    </w:p>
    <w:p w:rsidR="00081FE7" w:rsidRPr="00081FE7" w:rsidRDefault="00081FE7" w:rsidP="00081FE7">
      <w:pPr>
        <w:pStyle w:val="Ttulo1"/>
        <w:numPr>
          <w:ilvl w:val="2"/>
          <w:numId w:val="21"/>
        </w:numPr>
        <w:rPr>
          <w:color w:val="auto"/>
          <w:sz w:val="22"/>
        </w:rPr>
      </w:pPr>
      <w:r w:rsidRPr="00081FE7">
        <w:rPr>
          <w:color w:val="auto"/>
          <w:sz w:val="22"/>
        </w:rPr>
        <w:t>Diagnóstico de la Estrategia de Servicio al Ciudadano</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Este componente busca mejorar la calidad y el acceso a los trámites y servicios de las entidades públicas, mejorando la satisfacción de los ciudadanos y facilitando el ejercicio de sus derechos.</w:t>
      </w:r>
    </w:p>
    <w:p w:rsidR="00081FE7" w:rsidRPr="00081FE7" w:rsidRDefault="00081FE7" w:rsidP="00081FE7">
      <w:pPr>
        <w:spacing w:after="2" w:line="259" w:lineRule="auto"/>
        <w:jc w:val="both"/>
        <w:rPr>
          <w:rFonts w:ascii="Cambria" w:hAnsi="Cambria"/>
          <w:sz w:val="22"/>
        </w:rPr>
      </w:pPr>
    </w:p>
    <w:p w:rsidR="00081FE7" w:rsidRPr="004D16D7" w:rsidRDefault="00081FE7" w:rsidP="00081FE7">
      <w:pPr>
        <w:spacing w:after="2" w:line="259" w:lineRule="auto"/>
        <w:jc w:val="both"/>
        <w:rPr>
          <w:rFonts w:ascii="Cambria" w:hAnsi="Cambria"/>
          <w:sz w:val="22"/>
        </w:rPr>
      </w:pPr>
      <w:r w:rsidRPr="004D16D7">
        <w:rPr>
          <w:rFonts w:ascii="Cambria" w:hAnsi="Cambria"/>
          <w:sz w:val="22"/>
        </w:rPr>
        <w:t xml:space="preserve">El Gobierno Nacional mediante Decreto 2623 de 2009 creó el Sistema Nacional de Servicio al Ciudadano, como una instancia coordinadora para la Administración Pública del Orden </w:t>
      </w:r>
      <w:r w:rsidRPr="004D16D7">
        <w:rPr>
          <w:rFonts w:ascii="Cambria" w:hAnsi="Cambria"/>
          <w:sz w:val="22"/>
        </w:rPr>
        <w:lastRenderedPageBreak/>
        <w:t xml:space="preserve">Nacional de las políticas, estrategias, programas, metodologías, mecanismos y actividades encaminados a fortalecer la Administración al servicio del ciudadano. Así mismo, el Sistema Nacional de Servicio al Ciudadano se complementa y articula con el Sistema de Control Interno y el Modelo Integrado de Planeación y Gestión – MIPG II. </w:t>
      </w:r>
    </w:p>
    <w:p w:rsidR="00081FE7" w:rsidRPr="004D16D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4D16D7">
        <w:rPr>
          <w:rFonts w:ascii="Cambria" w:hAnsi="Cambria"/>
          <w:sz w:val="22"/>
        </w:rPr>
        <w:t>Según lo establecido en el Decreto 2623 de 2009, las entidades de la Administración Pública del Orden Nacional deberán adoptar los indicadores, elementos de medición, seguimiento, evaluación y control relacionados con la calidad y eficiencia del servicio al ciudadano.</w:t>
      </w:r>
    </w:p>
    <w:p w:rsidR="00081FE7" w:rsidRPr="00081FE7" w:rsidRDefault="00081FE7" w:rsidP="00081FE7">
      <w:pPr>
        <w:spacing w:after="2" w:line="259" w:lineRule="auto"/>
        <w:jc w:val="both"/>
        <w:rPr>
          <w:rFonts w:ascii="Cambria" w:hAnsi="Cambria"/>
          <w:sz w:val="22"/>
        </w:rPr>
      </w:pPr>
    </w:p>
    <w:p w:rsidR="00081FE7" w:rsidRDefault="00081FE7" w:rsidP="00081FE7">
      <w:pPr>
        <w:spacing w:after="2" w:line="259" w:lineRule="auto"/>
        <w:jc w:val="both"/>
        <w:rPr>
          <w:rFonts w:ascii="Cambria" w:hAnsi="Cambria"/>
          <w:sz w:val="22"/>
        </w:rPr>
      </w:pPr>
      <w:r w:rsidRPr="00081FE7">
        <w:rPr>
          <w:rFonts w:ascii="Cambria" w:hAnsi="Cambria"/>
          <w:sz w:val="22"/>
        </w:rPr>
        <w:t>De acuerdo con lo establecido en la “Estrategia para la construcción del Plan Anticorrupción y de Atención al Ciudadano” del Departamento Administrativo de la Función Pública – DAFP, se hizo una revisión de los aspectos más relevantes relacionados con el servicio al ciudadano, tales como:</w:t>
      </w:r>
    </w:p>
    <w:p w:rsidR="004D16D7" w:rsidRPr="00081FE7" w:rsidRDefault="004D16D7" w:rsidP="00081FE7">
      <w:pPr>
        <w:spacing w:after="2" w:line="259" w:lineRule="auto"/>
        <w:jc w:val="both"/>
        <w:rPr>
          <w:rFonts w:ascii="Cambria" w:hAnsi="Cambria"/>
          <w:sz w:val="22"/>
        </w:rPr>
      </w:pPr>
    </w:p>
    <w:p w:rsidR="00081FE7" w:rsidRPr="00081FE7" w:rsidRDefault="00081FE7" w:rsidP="00081FE7">
      <w:pPr>
        <w:numPr>
          <w:ilvl w:val="0"/>
          <w:numId w:val="42"/>
        </w:numPr>
        <w:spacing w:after="2" w:line="259" w:lineRule="auto"/>
        <w:jc w:val="both"/>
        <w:rPr>
          <w:rFonts w:ascii="Cambria" w:hAnsi="Cambria"/>
          <w:sz w:val="22"/>
        </w:rPr>
      </w:pPr>
      <w:r w:rsidRPr="00081FE7">
        <w:rPr>
          <w:rFonts w:ascii="Cambria" w:hAnsi="Cambria"/>
          <w:b/>
          <w:sz w:val="22"/>
        </w:rPr>
        <w:t>Nivel de Cumplimiento Normativo:</w:t>
      </w:r>
      <w:r w:rsidRPr="00081FE7">
        <w:rPr>
          <w:rFonts w:ascii="Cambria" w:hAnsi="Cambria"/>
          <w:sz w:val="22"/>
        </w:rPr>
        <w:t xml:space="preserve"> </w:t>
      </w:r>
      <w:r w:rsidR="00E11F87">
        <w:rPr>
          <w:rFonts w:ascii="Cambria" w:hAnsi="Cambria"/>
          <w:sz w:val="22"/>
        </w:rPr>
        <w:t>s</w:t>
      </w:r>
      <w:r w:rsidRPr="00081FE7">
        <w:rPr>
          <w:rFonts w:ascii="Cambria" w:hAnsi="Cambria"/>
          <w:sz w:val="22"/>
        </w:rPr>
        <w:t>e analizó el componente normativo y procedimental, verificando el cumplimiento de requisitos con sujeción a la norma, evidenciando la siguiente situación:</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numPr>
          <w:ilvl w:val="1"/>
          <w:numId w:val="42"/>
        </w:numPr>
        <w:spacing w:after="2" w:line="259" w:lineRule="auto"/>
        <w:ind w:left="709" w:hanging="283"/>
        <w:jc w:val="both"/>
        <w:rPr>
          <w:rFonts w:ascii="Cambria" w:hAnsi="Cambria"/>
          <w:sz w:val="22"/>
        </w:rPr>
      </w:pPr>
      <w:r w:rsidRPr="00E11F87">
        <w:rPr>
          <w:rFonts w:ascii="Cambria" w:hAnsi="Cambria"/>
          <w:sz w:val="22"/>
        </w:rPr>
        <w:t>Se expidió la resolución 288 de diciembre 14 de 2017 “</w:t>
      </w:r>
      <w:r w:rsidRPr="00081FE7">
        <w:rPr>
          <w:rFonts w:ascii="Cambria" w:hAnsi="Cambria"/>
          <w:sz w:val="22"/>
        </w:rPr>
        <w:t>Por la cual se reglamenta el trámite de las peticiones, quejas, reclamos, denuncias y solicitudes de información, ante la Unidad de Información y Análisis Financiero – UIAF”, modificada por la resolución 206 de 2019.</w:t>
      </w:r>
    </w:p>
    <w:p w:rsidR="00081FE7" w:rsidRPr="00057F1D" w:rsidRDefault="00081FE7" w:rsidP="00081FE7">
      <w:pPr>
        <w:numPr>
          <w:ilvl w:val="1"/>
          <w:numId w:val="42"/>
        </w:numPr>
        <w:spacing w:after="2" w:line="259" w:lineRule="auto"/>
        <w:ind w:left="709" w:hanging="283"/>
        <w:jc w:val="both"/>
        <w:rPr>
          <w:rFonts w:ascii="Cambria" w:hAnsi="Cambria"/>
          <w:sz w:val="22"/>
        </w:rPr>
      </w:pPr>
      <w:r w:rsidRPr="00057F1D">
        <w:rPr>
          <w:rFonts w:ascii="Cambria" w:hAnsi="Cambria"/>
          <w:sz w:val="22"/>
        </w:rPr>
        <w:t>La reglamentación interna no incorpora mecanismos para dar prioridad a las peticiones presentadas por menores de edad y aquellas relacionadas con el reconocimiento de un derecho fundamental.</w:t>
      </w:r>
    </w:p>
    <w:p w:rsidR="00081FE7" w:rsidRPr="00081FE7" w:rsidRDefault="00081FE7" w:rsidP="00081FE7">
      <w:pPr>
        <w:numPr>
          <w:ilvl w:val="1"/>
          <w:numId w:val="42"/>
        </w:numPr>
        <w:spacing w:after="2" w:line="259" w:lineRule="auto"/>
        <w:ind w:left="709" w:hanging="283"/>
        <w:jc w:val="both"/>
        <w:rPr>
          <w:rFonts w:ascii="Cambria" w:hAnsi="Cambria"/>
          <w:sz w:val="22"/>
        </w:rPr>
      </w:pPr>
      <w:r w:rsidRPr="00081FE7">
        <w:rPr>
          <w:rFonts w:ascii="Cambria" w:hAnsi="Cambria"/>
          <w:sz w:val="22"/>
        </w:rPr>
        <w:t>Se elaboran informes mensuales de PQRS y se publican en el sitio web.</w:t>
      </w:r>
    </w:p>
    <w:p w:rsidR="00081FE7" w:rsidRPr="00057F1D" w:rsidRDefault="00081FE7" w:rsidP="00081FE7">
      <w:pPr>
        <w:numPr>
          <w:ilvl w:val="1"/>
          <w:numId w:val="42"/>
        </w:numPr>
        <w:spacing w:after="2" w:line="259" w:lineRule="auto"/>
        <w:ind w:left="709" w:hanging="283"/>
        <w:jc w:val="both"/>
        <w:rPr>
          <w:rFonts w:ascii="Cambria" w:hAnsi="Cambria"/>
          <w:sz w:val="22"/>
        </w:rPr>
      </w:pPr>
      <w:r w:rsidRPr="00057F1D">
        <w:rPr>
          <w:rFonts w:ascii="Cambria" w:hAnsi="Cambria"/>
          <w:sz w:val="22"/>
        </w:rPr>
        <w:t>Se adoptó el procedimiento documentado “DE-PR-05 – Procedimiento de Peticiones, Quejas, Reclamos y Sugerencias</w:t>
      </w:r>
      <w:r w:rsidR="00057F1D" w:rsidRPr="00057F1D">
        <w:rPr>
          <w:rFonts w:ascii="Cambria" w:hAnsi="Cambria"/>
          <w:sz w:val="22"/>
        </w:rPr>
        <w:t>”</w:t>
      </w:r>
      <w:r w:rsidRPr="00057F1D">
        <w:rPr>
          <w:rFonts w:ascii="Cambria" w:hAnsi="Cambria"/>
          <w:sz w:val="22"/>
        </w:rPr>
        <w:t>, aprobado oficialmente para el trámite de las PQRS.</w:t>
      </w:r>
    </w:p>
    <w:p w:rsidR="00081FE7" w:rsidRPr="00057F1D" w:rsidRDefault="00081FE7" w:rsidP="00081FE7">
      <w:pPr>
        <w:numPr>
          <w:ilvl w:val="1"/>
          <w:numId w:val="42"/>
        </w:numPr>
        <w:spacing w:after="2" w:line="259" w:lineRule="auto"/>
        <w:ind w:left="709" w:hanging="283"/>
        <w:jc w:val="both"/>
        <w:rPr>
          <w:rFonts w:ascii="Cambria" w:hAnsi="Cambria"/>
          <w:sz w:val="22"/>
        </w:rPr>
      </w:pPr>
      <w:r w:rsidRPr="00057F1D">
        <w:rPr>
          <w:rFonts w:ascii="Cambria" w:hAnsi="Cambria"/>
          <w:sz w:val="22"/>
        </w:rPr>
        <w:t xml:space="preserve">La Entidad </w:t>
      </w:r>
      <w:r w:rsidR="00057F1D" w:rsidRPr="00057F1D">
        <w:rPr>
          <w:rFonts w:ascii="Cambria" w:hAnsi="Cambria"/>
          <w:sz w:val="22"/>
        </w:rPr>
        <w:t xml:space="preserve">entró en un proceso de actualización del módulo para para la recepción y trámite </w:t>
      </w:r>
      <w:r w:rsidRPr="00057F1D">
        <w:rPr>
          <w:rFonts w:ascii="Cambria" w:hAnsi="Cambria"/>
          <w:sz w:val="22"/>
        </w:rPr>
        <w:t xml:space="preserve">de las PQRS, </w:t>
      </w:r>
      <w:r w:rsidR="00057F1D" w:rsidRPr="00057F1D">
        <w:rPr>
          <w:rFonts w:ascii="Cambria" w:hAnsi="Cambria"/>
          <w:sz w:val="22"/>
        </w:rPr>
        <w:t>que permit</w:t>
      </w:r>
      <w:r w:rsidRPr="00057F1D">
        <w:rPr>
          <w:rFonts w:ascii="Cambria" w:hAnsi="Cambria"/>
          <w:sz w:val="22"/>
        </w:rPr>
        <w:t xml:space="preserve">a </w:t>
      </w:r>
      <w:r w:rsidR="00057F1D" w:rsidRPr="00057F1D">
        <w:rPr>
          <w:rFonts w:ascii="Cambria" w:hAnsi="Cambria"/>
          <w:sz w:val="22"/>
        </w:rPr>
        <w:t xml:space="preserve">articularse con el gestor documental para </w:t>
      </w:r>
      <w:r w:rsidRPr="00057F1D">
        <w:rPr>
          <w:rFonts w:ascii="Cambria" w:hAnsi="Cambria"/>
          <w:sz w:val="22"/>
        </w:rPr>
        <w:t>la genera</w:t>
      </w:r>
      <w:r w:rsidR="00057F1D" w:rsidRPr="00057F1D">
        <w:rPr>
          <w:rFonts w:ascii="Cambria" w:hAnsi="Cambria"/>
          <w:sz w:val="22"/>
        </w:rPr>
        <w:t xml:space="preserve">ción </w:t>
      </w:r>
      <w:r w:rsidRPr="00057F1D">
        <w:rPr>
          <w:rFonts w:ascii="Cambria" w:hAnsi="Cambria"/>
          <w:sz w:val="22"/>
        </w:rPr>
        <w:t>y asigna</w:t>
      </w:r>
      <w:r w:rsidR="00057F1D" w:rsidRPr="00057F1D">
        <w:rPr>
          <w:rFonts w:ascii="Cambria" w:hAnsi="Cambria"/>
          <w:sz w:val="22"/>
        </w:rPr>
        <w:t>ción de</w:t>
      </w:r>
      <w:r w:rsidRPr="00057F1D">
        <w:rPr>
          <w:rFonts w:ascii="Cambria" w:hAnsi="Cambria"/>
          <w:sz w:val="22"/>
        </w:rPr>
        <w:t xml:space="preserve"> </w:t>
      </w:r>
      <w:r w:rsidR="00057F1D" w:rsidRPr="00057F1D">
        <w:rPr>
          <w:rFonts w:ascii="Cambria" w:hAnsi="Cambria"/>
          <w:sz w:val="22"/>
        </w:rPr>
        <w:t>radicados</w:t>
      </w:r>
      <w:r w:rsidRPr="00057F1D">
        <w:rPr>
          <w:rFonts w:ascii="Cambria" w:hAnsi="Cambria"/>
          <w:sz w:val="22"/>
        </w:rPr>
        <w:t xml:space="preserve"> consecutivos de manera automática.</w:t>
      </w:r>
    </w:p>
    <w:p w:rsidR="00081FE7" w:rsidRPr="00057F1D" w:rsidRDefault="00081FE7" w:rsidP="00081FE7">
      <w:pPr>
        <w:numPr>
          <w:ilvl w:val="1"/>
          <w:numId w:val="42"/>
        </w:numPr>
        <w:spacing w:after="2" w:line="259" w:lineRule="auto"/>
        <w:ind w:left="709" w:hanging="283"/>
        <w:jc w:val="both"/>
        <w:rPr>
          <w:rFonts w:ascii="Cambria" w:hAnsi="Cambria"/>
          <w:sz w:val="22"/>
        </w:rPr>
      </w:pPr>
      <w:r w:rsidRPr="00057F1D">
        <w:rPr>
          <w:rFonts w:ascii="Cambria" w:hAnsi="Cambria"/>
          <w:sz w:val="22"/>
        </w:rPr>
        <w:t>Como parte del proceso de implementación de la política de servicio al ciudadano, contenida en el MIPG, la UIAF participó de las mesas sectoriales programadas y dirigidas por el Ministerio de Hacienda y Crédito Público durante la vigencia 202</w:t>
      </w:r>
      <w:r w:rsidR="00E11F87" w:rsidRPr="00057F1D">
        <w:rPr>
          <w:rFonts w:ascii="Cambria" w:hAnsi="Cambria"/>
          <w:sz w:val="22"/>
        </w:rPr>
        <w:t>2</w:t>
      </w:r>
      <w:r w:rsidRPr="00057F1D">
        <w:rPr>
          <w:rFonts w:ascii="Cambria" w:hAnsi="Cambria"/>
          <w:sz w:val="22"/>
        </w:rPr>
        <w:t xml:space="preserve">, </w:t>
      </w:r>
      <w:r w:rsidR="00057F1D" w:rsidRPr="00057F1D">
        <w:rPr>
          <w:rFonts w:ascii="Cambria" w:hAnsi="Cambria"/>
          <w:sz w:val="22"/>
        </w:rPr>
        <w:t xml:space="preserve">a través de las </w:t>
      </w:r>
      <w:r w:rsidRPr="00057F1D">
        <w:rPr>
          <w:rFonts w:ascii="Cambria" w:hAnsi="Cambria"/>
          <w:sz w:val="22"/>
        </w:rPr>
        <w:t xml:space="preserve">cuales </w:t>
      </w:r>
      <w:r w:rsidR="00057F1D" w:rsidRPr="00057F1D">
        <w:rPr>
          <w:rFonts w:ascii="Cambria" w:hAnsi="Cambria"/>
          <w:sz w:val="22"/>
        </w:rPr>
        <w:t>se evalúa</w:t>
      </w:r>
      <w:r w:rsidRPr="00057F1D">
        <w:rPr>
          <w:rFonts w:ascii="Cambria" w:hAnsi="Cambria"/>
          <w:sz w:val="22"/>
        </w:rPr>
        <w:t xml:space="preserve"> el estado de implementación de la política en las entidades que conforman el Sector Hacienda y </w:t>
      </w:r>
      <w:r w:rsidR="00057F1D" w:rsidRPr="00057F1D">
        <w:rPr>
          <w:rFonts w:ascii="Cambria" w:hAnsi="Cambria"/>
          <w:sz w:val="22"/>
        </w:rPr>
        <w:t>se formulan</w:t>
      </w:r>
      <w:r w:rsidRPr="00057F1D">
        <w:rPr>
          <w:rFonts w:ascii="Cambria" w:hAnsi="Cambria"/>
          <w:sz w:val="22"/>
        </w:rPr>
        <w:t xml:space="preserve"> l</w:t>
      </w:r>
      <w:r w:rsidR="00057F1D" w:rsidRPr="00057F1D">
        <w:rPr>
          <w:rFonts w:ascii="Cambria" w:hAnsi="Cambria"/>
          <w:sz w:val="22"/>
        </w:rPr>
        <w:t>os</w:t>
      </w:r>
      <w:r w:rsidRPr="00057F1D">
        <w:rPr>
          <w:rFonts w:ascii="Cambria" w:hAnsi="Cambria"/>
          <w:sz w:val="22"/>
        </w:rPr>
        <w:t xml:space="preserve"> plan</w:t>
      </w:r>
      <w:r w:rsidR="00057F1D" w:rsidRPr="00057F1D">
        <w:rPr>
          <w:rFonts w:ascii="Cambria" w:hAnsi="Cambria"/>
          <w:sz w:val="22"/>
        </w:rPr>
        <w:t>es</w:t>
      </w:r>
      <w:r w:rsidRPr="00057F1D">
        <w:rPr>
          <w:rFonts w:ascii="Cambria" w:hAnsi="Cambria"/>
          <w:sz w:val="22"/>
        </w:rPr>
        <w:t xml:space="preserve"> de trabajo a </w:t>
      </w:r>
      <w:r w:rsidR="00057F1D" w:rsidRPr="00057F1D">
        <w:rPr>
          <w:rFonts w:ascii="Cambria" w:hAnsi="Cambria"/>
          <w:sz w:val="22"/>
        </w:rPr>
        <w:t>implementar en la entidad</w:t>
      </w:r>
      <w:r w:rsidRPr="00057F1D">
        <w:rPr>
          <w:rFonts w:ascii="Cambria" w:hAnsi="Cambria"/>
          <w:sz w:val="22"/>
        </w:rPr>
        <w:t>.</w:t>
      </w:r>
    </w:p>
    <w:p w:rsidR="00E11F87" w:rsidRDefault="00E11F87" w:rsidP="00081FE7">
      <w:pPr>
        <w:numPr>
          <w:ilvl w:val="1"/>
          <w:numId w:val="42"/>
        </w:numPr>
        <w:spacing w:after="2" w:line="259" w:lineRule="auto"/>
        <w:ind w:left="709" w:hanging="283"/>
        <w:jc w:val="both"/>
        <w:rPr>
          <w:rFonts w:ascii="Cambria" w:hAnsi="Cambria"/>
          <w:sz w:val="22"/>
        </w:rPr>
      </w:pPr>
      <w:r>
        <w:rPr>
          <w:rFonts w:ascii="Cambria" w:hAnsi="Cambria"/>
          <w:sz w:val="22"/>
        </w:rPr>
        <w:lastRenderedPageBreak/>
        <w:t>Se realizó la actualización del autodiagnóstico de la Política de Servicio al Ciudadano, con base en los resultados del FURAG correspondiente a la gestión de la vigencia 2021.</w:t>
      </w:r>
    </w:p>
    <w:p w:rsidR="00E11F87" w:rsidRPr="00081FE7" w:rsidRDefault="00E11F87" w:rsidP="00081FE7">
      <w:pPr>
        <w:numPr>
          <w:ilvl w:val="1"/>
          <w:numId w:val="42"/>
        </w:numPr>
        <w:spacing w:after="2" w:line="259" w:lineRule="auto"/>
        <w:ind w:left="709" w:hanging="283"/>
        <w:jc w:val="both"/>
        <w:rPr>
          <w:rFonts w:ascii="Cambria" w:hAnsi="Cambria"/>
          <w:sz w:val="22"/>
        </w:rPr>
      </w:pPr>
      <w:r>
        <w:rPr>
          <w:rFonts w:ascii="Cambria" w:hAnsi="Cambria"/>
          <w:sz w:val="22"/>
        </w:rPr>
        <w:t>Se elaboró el respectivo plan de trabajo basado en el autodiagnóstico y las recomendaciones realizadas por el DAFP, el cual se incorpora al Plan de Cierre de Brechas de MIPG para la vigencia 2023.</w:t>
      </w:r>
    </w:p>
    <w:p w:rsidR="00081FE7" w:rsidRPr="00081FE7" w:rsidRDefault="00081FE7" w:rsidP="00081FE7">
      <w:pPr>
        <w:spacing w:after="2" w:line="259" w:lineRule="auto"/>
        <w:jc w:val="both"/>
        <w:rPr>
          <w:rFonts w:ascii="Cambria" w:hAnsi="Cambria"/>
          <w:sz w:val="22"/>
        </w:rPr>
      </w:pPr>
    </w:p>
    <w:p w:rsidR="00081FE7" w:rsidRPr="00D03F2C" w:rsidRDefault="00081FE7" w:rsidP="00081FE7">
      <w:pPr>
        <w:numPr>
          <w:ilvl w:val="0"/>
          <w:numId w:val="42"/>
        </w:numPr>
        <w:spacing w:after="2" w:line="259" w:lineRule="auto"/>
        <w:jc w:val="both"/>
        <w:rPr>
          <w:rFonts w:ascii="Cambria" w:hAnsi="Cambria"/>
          <w:sz w:val="22"/>
        </w:rPr>
      </w:pPr>
      <w:r w:rsidRPr="00D03F2C">
        <w:rPr>
          <w:rFonts w:ascii="Cambria" w:hAnsi="Cambria"/>
          <w:b/>
          <w:sz w:val="22"/>
        </w:rPr>
        <w:t>Encuestas de Percepción de Ciudadanos:</w:t>
      </w:r>
      <w:r w:rsidRPr="00D03F2C">
        <w:rPr>
          <w:rFonts w:ascii="Cambria" w:hAnsi="Cambria"/>
          <w:sz w:val="22"/>
        </w:rPr>
        <w:t xml:space="preserve"> </w:t>
      </w:r>
      <w:r w:rsidR="00CE49D7" w:rsidRPr="00D03F2C">
        <w:rPr>
          <w:rFonts w:ascii="Cambria" w:hAnsi="Cambria"/>
          <w:sz w:val="22"/>
        </w:rPr>
        <w:t>a</w:t>
      </w:r>
      <w:r w:rsidRPr="00D03F2C">
        <w:rPr>
          <w:rFonts w:ascii="Cambria" w:hAnsi="Cambria"/>
          <w:sz w:val="22"/>
        </w:rPr>
        <w:t xml:space="preserve"> través del Sistema de PQRS, la UIAF aplic</w:t>
      </w:r>
      <w:r w:rsidR="00CE49D7" w:rsidRPr="00D03F2C">
        <w:rPr>
          <w:rFonts w:ascii="Cambria" w:hAnsi="Cambria"/>
          <w:sz w:val="22"/>
        </w:rPr>
        <w:t>ó</w:t>
      </w:r>
      <w:r w:rsidRPr="00D03F2C">
        <w:rPr>
          <w:rFonts w:ascii="Cambria" w:hAnsi="Cambria"/>
          <w:sz w:val="22"/>
        </w:rPr>
        <w:t xml:space="preserve"> </w:t>
      </w:r>
      <w:r w:rsidR="00CE49D7" w:rsidRPr="00D03F2C">
        <w:rPr>
          <w:rFonts w:ascii="Cambria" w:hAnsi="Cambria"/>
          <w:sz w:val="22"/>
        </w:rPr>
        <w:t xml:space="preserve">hasta el mes de </w:t>
      </w:r>
      <w:r w:rsidR="00D03F2C" w:rsidRPr="00D03F2C">
        <w:rPr>
          <w:rFonts w:ascii="Cambria" w:hAnsi="Cambria"/>
          <w:sz w:val="22"/>
        </w:rPr>
        <w:t>marzo</w:t>
      </w:r>
      <w:r w:rsidR="00CE49D7" w:rsidRPr="00D03F2C">
        <w:rPr>
          <w:rFonts w:ascii="Cambria" w:hAnsi="Cambria"/>
          <w:sz w:val="22"/>
        </w:rPr>
        <w:t xml:space="preserve"> de 2022 </w:t>
      </w:r>
      <w:r w:rsidRPr="00D03F2C">
        <w:rPr>
          <w:rFonts w:ascii="Cambria" w:hAnsi="Cambria"/>
          <w:sz w:val="22"/>
        </w:rPr>
        <w:t xml:space="preserve">una encuesta respecto a la calidad y oportunidad de las respuestas a las peticiones, quejas, reclamos y sugerencias, resultado que permitió establecer </w:t>
      </w:r>
      <w:r w:rsidR="00D03F2C" w:rsidRPr="00D03F2C">
        <w:rPr>
          <w:rFonts w:ascii="Cambria" w:hAnsi="Cambria"/>
          <w:sz w:val="22"/>
        </w:rPr>
        <w:t>que el 60</w:t>
      </w:r>
      <w:r w:rsidRPr="00D03F2C">
        <w:rPr>
          <w:rFonts w:ascii="Cambria" w:hAnsi="Cambria"/>
          <w:sz w:val="22"/>
        </w:rPr>
        <w:t>,</w:t>
      </w:r>
      <w:r w:rsidR="00D03F2C" w:rsidRPr="00D03F2C">
        <w:rPr>
          <w:rFonts w:ascii="Cambria" w:hAnsi="Cambria"/>
          <w:sz w:val="22"/>
        </w:rPr>
        <w:t>63</w:t>
      </w:r>
      <w:r w:rsidRPr="00D03F2C">
        <w:rPr>
          <w:rFonts w:ascii="Cambria" w:hAnsi="Cambria"/>
          <w:b/>
          <w:sz w:val="22"/>
        </w:rPr>
        <w:t>%</w:t>
      </w:r>
      <w:r w:rsidRPr="00D03F2C">
        <w:rPr>
          <w:rFonts w:ascii="Cambria" w:hAnsi="Cambria"/>
          <w:sz w:val="22"/>
        </w:rPr>
        <w:t xml:space="preserve"> de los encuestados evalúan el servicio como “</w:t>
      </w:r>
      <w:r w:rsidRPr="00D03F2C">
        <w:rPr>
          <w:rFonts w:ascii="Cambria" w:hAnsi="Cambria"/>
          <w:b/>
          <w:sz w:val="22"/>
        </w:rPr>
        <w:t>Excelente</w:t>
      </w:r>
      <w:r w:rsidRPr="00D03F2C">
        <w:rPr>
          <w:rFonts w:ascii="Cambria" w:hAnsi="Cambria"/>
          <w:sz w:val="22"/>
        </w:rPr>
        <w:t xml:space="preserve">”, el </w:t>
      </w:r>
      <w:r w:rsidR="00D03F2C" w:rsidRPr="00D03F2C">
        <w:rPr>
          <w:rFonts w:ascii="Cambria" w:hAnsi="Cambria"/>
          <w:sz w:val="22"/>
        </w:rPr>
        <w:t>29</w:t>
      </w:r>
      <w:r w:rsidRPr="00D03F2C">
        <w:rPr>
          <w:rFonts w:ascii="Cambria" w:hAnsi="Cambria"/>
          <w:sz w:val="22"/>
        </w:rPr>
        <w:t>,</w:t>
      </w:r>
      <w:r w:rsidR="00D03F2C" w:rsidRPr="00D03F2C">
        <w:rPr>
          <w:rFonts w:ascii="Cambria" w:hAnsi="Cambria"/>
          <w:sz w:val="22"/>
        </w:rPr>
        <w:t>06</w:t>
      </w:r>
      <w:r w:rsidRPr="00D03F2C">
        <w:rPr>
          <w:rFonts w:ascii="Cambria" w:hAnsi="Cambria"/>
          <w:b/>
          <w:sz w:val="22"/>
        </w:rPr>
        <w:t>%</w:t>
      </w:r>
      <w:r w:rsidRPr="00D03F2C">
        <w:rPr>
          <w:rFonts w:ascii="Cambria" w:hAnsi="Cambria"/>
          <w:sz w:val="22"/>
        </w:rPr>
        <w:t xml:space="preserve"> lo evalúan como “</w:t>
      </w:r>
      <w:r w:rsidRPr="00D03F2C">
        <w:rPr>
          <w:rFonts w:ascii="Cambria" w:hAnsi="Cambria"/>
          <w:b/>
          <w:sz w:val="22"/>
        </w:rPr>
        <w:t>Bueno</w:t>
      </w:r>
      <w:r w:rsidRPr="00D03F2C">
        <w:rPr>
          <w:rFonts w:ascii="Cambria" w:hAnsi="Cambria"/>
          <w:sz w:val="22"/>
        </w:rPr>
        <w:t xml:space="preserve">”, el </w:t>
      </w:r>
      <w:r w:rsidR="00D03F2C" w:rsidRPr="00D03F2C">
        <w:rPr>
          <w:rFonts w:ascii="Cambria" w:hAnsi="Cambria"/>
          <w:sz w:val="22"/>
        </w:rPr>
        <w:t>2</w:t>
      </w:r>
      <w:r w:rsidRPr="00D03F2C">
        <w:rPr>
          <w:rFonts w:ascii="Cambria" w:hAnsi="Cambria"/>
          <w:sz w:val="22"/>
        </w:rPr>
        <w:t>,</w:t>
      </w:r>
      <w:r w:rsidR="00D03F2C" w:rsidRPr="00D03F2C">
        <w:rPr>
          <w:rFonts w:ascii="Cambria" w:hAnsi="Cambria"/>
          <w:sz w:val="22"/>
        </w:rPr>
        <w:t>50</w:t>
      </w:r>
      <w:r w:rsidRPr="00D03F2C">
        <w:rPr>
          <w:rFonts w:ascii="Cambria" w:hAnsi="Cambria"/>
          <w:sz w:val="22"/>
        </w:rPr>
        <w:t>%  como “</w:t>
      </w:r>
      <w:r w:rsidRPr="00D03F2C">
        <w:rPr>
          <w:rFonts w:ascii="Cambria" w:hAnsi="Cambria"/>
          <w:b/>
          <w:sz w:val="22"/>
        </w:rPr>
        <w:t>Regular</w:t>
      </w:r>
      <w:r w:rsidRPr="00D03F2C">
        <w:rPr>
          <w:rFonts w:ascii="Cambria" w:hAnsi="Cambria"/>
          <w:sz w:val="22"/>
        </w:rPr>
        <w:t xml:space="preserve">” y el </w:t>
      </w:r>
      <w:r w:rsidR="00D03F2C" w:rsidRPr="00D03F2C">
        <w:rPr>
          <w:rFonts w:ascii="Cambria" w:hAnsi="Cambria"/>
          <w:sz w:val="22"/>
        </w:rPr>
        <w:t>6</w:t>
      </w:r>
      <w:r w:rsidRPr="00D03F2C">
        <w:rPr>
          <w:rFonts w:ascii="Cambria" w:hAnsi="Cambria"/>
          <w:sz w:val="22"/>
        </w:rPr>
        <w:t>,</w:t>
      </w:r>
      <w:r w:rsidR="00D03F2C" w:rsidRPr="00D03F2C">
        <w:rPr>
          <w:rFonts w:ascii="Cambria" w:hAnsi="Cambria"/>
          <w:sz w:val="22"/>
        </w:rPr>
        <w:t>8</w:t>
      </w:r>
      <w:r w:rsidRPr="00D03F2C">
        <w:rPr>
          <w:rFonts w:ascii="Cambria" w:hAnsi="Cambria"/>
          <w:sz w:val="22"/>
        </w:rPr>
        <w:t>8</w:t>
      </w:r>
      <w:r w:rsidRPr="00D03F2C">
        <w:rPr>
          <w:rFonts w:ascii="Cambria" w:hAnsi="Cambria"/>
          <w:b/>
          <w:sz w:val="22"/>
        </w:rPr>
        <w:t>%</w:t>
      </w:r>
      <w:r w:rsidRPr="00D03F2C">
        <w:rPr>
          <w:rFonts w:ascii="Cambria" w:hAnsi="Cambria"/>
          <w:sz w:val="22"/>
        </w:rPr>
        <w:t xml:space="preserve"> como “</w:t>
      </w:r>
      <w:r w:rsidRPr="00D03F2C">
        <w:rPr>
          <w:rFonts w:ascii="Cambria" w:hAnsi="Cambria"/>
          <w:b/>
          <w:sz w:val="22"/>
        </w:rPr>
        <w:t>Malo</w:t>
      </w:r>
      <w:r w:rsidRPr="00D03F2C">
        <w:rPr>
          <w:rFonts w:ascii="Cambria" w:hAnsi="Cambria"/>
          <w:sz w:val="22"/>
        </w:rPr>
        <w:t>”.</w:t>
      </w:r>
    </w:p>
    <w:p w:rsidR="00081FE7" w:rsidRPr="00081FE7" w:rsidRDefault="00081FE7" w:rsidP="00081FE7">
      <w:pPr>
        <w:spacing w:after="2" w:line="259" w:lineRule="auto"/>
        <w:rPr>
          <w:rFonts w:ascii="Cambria" w:hAnsi="Cambria"/>
          <w:sz w:val="22"/>
        </w:rPr>
      </w:pPr>
    </w:p>
    <w:p w:rsidR="00081FE7" w:rsidRPr="00081FE7" w:rsidRDefault="00081FE7" w:rsidP="00081FE7">
      <w:pPr>
        <w:numPr>
          <w:ilvl w:val="0"/>
          <w:numId w:val="42"/>
        </w:numPr>
        <w:spacing w:after="2" w:line="259" w:lineRule="auto"/>
        <w:jc w:val="both"/>
        <w:rPr>
          <w:rFonts w:ascii="Cambria" w:hAnsi="Cambria"/>
          <w:sz w:val="22"/>
        </w:rPr>
      </w:pPr>
      <w:r w:rsidRPr="00081FE7">
        <w:rPr>
          <w:rFonts w:ascii="Cambria" w:hAnsi="Cambria"/>
          <w:b/>
          <w:sz w:val="22"/>
        </w:rPr>
        <w:t>Encuestas de Percepción a Servidores Públicos:</w:t>
      </w:r>
      <w:r w:rsidRPr="00081FE7">
        <w:rPr>
          <w:rFonts w:ascii="Cambria" w:hAnsi="Cambria"/>
          <w:sz w:val="22"/>
        </w:rPr>
        <w:t xml:space="preserve"> </w:t>
      </w:r>
      <w:r w:rsidR="00CE49D7">
        <w:rPr>
          <w:rFonts w:ascii="Cambria" w:hAnsi="Cambria"/>
          <w:sz w:val="22"/>
        </w:rPr>
        <w:t>n</w:t>
      </w:r>
      <w:r w:rsidRPr="00081FE7">
        <w:rPr>
          <w:rFonts w:ascii="Cambria" w:hAnsi="Cambria"/>
          <w:sz w:val="22"/>
        </w:rPr>
        <w:t>o se cuenta con encuestas de percepción diseñadas y aplicadas a los servidores públicos que interactúan directamente con los ciudadanos, que permitan identificar aspectos a mejorar en los servicios y así mismo, conocer las necesidades de capacitación o formación frente al  servicio al ciudadano.</w:t>
      </w:r>
    </w:p>
    <w:p w:rsidR="00081FE7" w:rsidRPr="00081FE7" w:rsidRDefault="00081FE7" w:rsidP="00081FE7">
      <w:pPr>
        <w:spacing w:after="2" w:line="259" w:lineRule="auto"/>
        <w:rPr>
          <w:rFonts w:ascii="Cambria" w:hAnsi="Cambria"/>
          <w:sz w:val="22"/>
        </w:rPr>
      </w:pPr>
    </w:p>
    <w:p w:rsidR="00081FE7" w:rsidRDefault="00081FE7" w:rsidP="00081FE7">
      <w:pPr>
        <w:numPr>
          <w:ilvl w:val="0"/>
          <w:numId w:val="42"/>
        </w:numPr>
        <w:spacing w:after="2" w:line="259" w:lineRule="auto"/>
        <w:jc w:val="both"/>
        <w:rPr>
          <w:rFonts w:ascii="Cambria" w:hAnsi="Cambria"/>
          <w:sz w:val="22"/>
        </w:rPr>
      </w:pPr>
      <w:r w:rsidRPr="00081FE7">
        <w:rPr>
          <w:rFonts w:ascii="Cambria" w:hAnsi="Cambria"/>
          <w:b/>
          <w:sz w:val="22"/>
        </w:rPr>
        <w:t>Estructura Administrativa:</w:t>
      </w:r>
      <w:r w:rsidRPr="00081FE7">
        <w:rPr>
          <w:rFonts w:ascii="Cambria" w:hAnsi="Cambria"/>
          <w:sz w:val="22"/>
        </w:rPr>
        <w:t xml:space="preserve"> </w:t>
      </w:r>
      <w:r w:rsidR="00CE49D7">
        <w:rPr>
          <w:rFonts w:ascii="Cambria" w:hAnsi="Cambria"/>
          <w:sz w:val="22"/>
        </w:rPr>
        <w:t>l</w:t>
      </w:r>
      <w:r w:rsidRPr="00081FE7">
        <w:rPr>
          <w:rFonts w:ascii="Cambria" w:hAnsi="Cambria"/>
          <w:sz w:val="22"/>
        </w:rPr>
        <w:t>as condiciones de infraestructura física, no ha permitido que se institucionalice un área de servicio al ciudadano, de acuerdo con lo señalado por el artículo 76 de Ley 1474 de 2011 - Estatuto Anticorrupción y a la norma técnica colombiana NTC 6047.</w:t>
      </w:r>
    </w:p>
    <w:p w:rsidR="00BF155D" w:rsidRPr="00081FE7" w:rsidRDefault="00BF155D" w:rsidP="00081FE7">
      <w:pPr>
        <w:numPr>
          <w:ilvl w:val="0"/>
          <w:numId w:val="42"/>
        </w:numPr>
        <w:spacing w:after="2" w:line="259" w:lineRule="auto"/>
        <w:jc w:val="both"/>
        <w:rPr>
          <w:rFonts w:ascii="Cambria" w:hAnsi="Cambria"/>
          <w:sz w:val="22"/>
        </w:rPr>
      </w:pPr>
      <w:r>
        <w:rPr>
          <w:rFonts w:ascii="Cambria" w:hAnsi="Cambria"/>
          <w:sz w:val="22"/>
        </w:rPr>
        <w:t>Como parte del fortalecimiento institucional realizado en la vigencia 2022, le fueron asignadas a la Subdirección Administrativa y Financiera, las funciones establecidas a nivel normativo de atención y servicio al ciudadano. Así mismo, dentro de la planta de personal de esta Subdirección, se estableció el perfil y las funciones para un funcionario que lidere esta política, bajo la coordinación y supervisión de la Subdirección Administrativa y Financiera.</w:t>
      </w:r>
    </w:p>
    <w:p w:rsidR="00081FE7" w:rsidRPr="00081FE7" w:rsidRDefault="00081FE7" w:rsidP="00081FE7">
      <w:pPr>
        <w:rPr>
          <w:rFonts w:ascii="Cambria" w:hAnsi="Cambria"/>
          <w:sz w:val="22"/>
        </w:rPr>
      </w:pPr>
    </w:p>
    <w:p w:rsidR="00081FE7" w:rsidRPr="00081FE7" w:rsidRDefault="00081FE7" w:rsidP="00081FE7">
      <w:pPr>
        <w:numPr>
          <w:ilvl w:val="0"/>
          <w:numId w:val="42"/>
        </w:numPr>
        <w:spacing w:after="2" w:line="259" w:lineRule="auto"/>
        <w:jc w:val="both"/>
        <w:rPr>
          <w:rFonts w:ascii="Cambria" w:hAnsi="Cambria"/>
          <w:sz w:val="22"/>
        </w:rPr>
      </w:pPr>
      <w:r w:rsidRPr="00081FE7">
        <w:rPr>
          <w:rFonts w:ascii="Cambria" w:hAnsi="Cambria"/>
          <w:b/>
          <w:sz w:val="22"/>
        </w:rPr>
        <w:t>Fortalecimiento de los Canales de Atención:</w:t>
      </w:r>
      <w:r w:rsidRPr="00081FE7">
        <w:rPr>
          <w:rFonts w:ascii="Cambria" w:hAnsi="Cambria"/>
          <w:sz w:val="22"/>
        </w:rPr>
        <w:t xml:space="preserve"> </w:t>
      </w:r>
      <w:r w:rsidR="007E559F">
        <w:rPr>
          <w:rFonts w:ascii="Cambria" w:hAnsi="Cambria"/>
          <w:sz w:val="22"/>
        </w:rPr>
        <w:t xml:space="preserve">en el transcurso </w:t>
      </w:r>
      <w:r w:rsidRPr="00081FE7">
        <w:rPr>
          <w:rFonts w:ascii="Cambria" w:hAnsi="Cambria"/>
          <w:sz w:val="22"/>
        </w:rPr>
        <w:t>de la vigencia 20</w:t>
      </w:r>
      <w:r w:rsidR="007E559F">
        <w:rPr>
          <w:rFonts w:ascii="Cambria" w:hAnsi="Cambria"/>
          <w:sz w:val="22"/>
        </w:rPr>
        <w:t>22</w:t>
      </w:r>
      <w:r w:rsidRPr="00081FE7">
        <w:rPr>
          <w:rFonts w:ascii="Cambria" w:hAnsi="Cambria"/>
          <w:sz w:val="22"/>
        </w:rPr>
        <w:t xml:space="preserve"> se adelantó la </w:t>
      </w:r>
      <w:r w:rsidR="007E559F">
        <w:rPr>
          <w:rFonts w:ascii="Cambria" w:hAnsi="Cambria"/>
          <w:sz w:val="22"/>
        </w:rPr>
        <w:t xml:space="preserve">revisión, migración y </w:t>
      </w:r>
      <w:r w:rsidRPr="00081FE7">
        <w:rPr>
          <w:rFonts w:ascii="Cambria" w:hAnsi="Cambria"/>
          <w:sz w:val="22"/>
        </w:rPr>
        <w:t xml:space="preserve">actualización </w:t>
      </w:r>
      <w:r w:rsidR="007E559F">
        <w:rPr>
          <w:rFonts w:ascii="Cambria" w:hAnsi="Cambria"/>
          <w:sz w:val="22"/>
        </w:rPr>
        <w:t xml:space="preserve">de los servicios </w:t>
      </w:r>
      <w:r w:rsidRPr="00081FE7">
        <w:rPr>
          <w:rFonts w:ascii="Cambria" w:hAnsi="Cambria"/>
          <w:sz w:val="22"/>
        </w:rPr>
        <w:t xml:space="preserve">del sitio web de la entidad, implementado mecanismos de usabilidad y accesibilidad, de acuerdo con los requisitos establecidos </w:t>
      </w:r>
      <w:r w:rsidR="007E559F">
        <w:rPr>
          <w:rFonts w:ascii="Cambria" w:hAnsi="Cambria"/>
          <w:sz w:val="22"/>
        </w:rPr>
        <w:t xml:space="preserve">por el Ministerio de las Tecnologías de la Información y las Comunicaciones – MINTIC, a través de la resolución 1519 e 2020, en el marco de </w:t>
      </w:r>
      <w:r w:rsidRPr="00081FE7">
        <w:rPr>
          <w:rFonts w:ascii="Cambria" w:hAnsi="Cambria"/>
          <w:sz w:val="22"/>
        </w:rPr>
        <w:t>la Ley de transparencia y del derecho al acceso a la información pública. Se cuenta con un procedimiento documentado para la recepción, trámite y respuesta a las peticiones, quejas, reclamos, sugerencias y solicitudes de información pública.</w:t>
      </w:r>
    </w:p>
    <w:p w:rsidR="00081FE7" w:rsidRPr="00081FE7" w:rsidRDefault="00081FE7" w:rsidP="00081FE7">
      <w:pPr>
        <w:spacing w:after="2" w:line="259" w:lineRule="auto"/>
        <w:rPr>
          <w:rFonts w:ascii="Cambria" w:hAnsi="Cambria"/>
          <w:sz w:val="22"/>
        </w:rPr>
      </w:pPr>
    </w:p>
    <w:p w:rsidR="00081FE7" w:rsidRPr="00081FE7" w:rsidRDefault="00081FE7" w:rsidP="00081FE7">
      <w:pPr>
        <w:numPr>
          <w:ilvl w:val="0"/>
          <w:numId w:val="42"/>
        </w:numPr>
        <w:spacing w:after="2" w:line="259" w:lineRule="auto"/>
        <w:jc w:val="both"/>
        <w:rPr>
          <w:rFonts w:ascii="Cambria" w:hAnsi="Cambria"/>
          <w:sz w:val="22"/>
        </w:rPr>
      </w:pPr>
      <w:r w:rsidRPr="00081FE7">
        <w:rPr>
          <w:rFonts w:ascii="Cambria" w:hAnsi="Cambria"/>
          <w:b/>
          <w:sz w:val="22"/>
        </w:rPr>
        <w:t>Talento Humano:</w:t>
      </w:r>
      <w:r w:rsidRPr="00081FE7">
        <w:rPr>
          <w:rFonts w:ascii="Cambria" w:hAnsi="Cambria"/>
          <w:sz w:val="22"/>
        </w:rPr>
        <w:t xml:space="preserve"> </w:t>
      </w:r>
      <w:r w:rsidR="00537D3C">
        <w:rPr>
          <w:rFonts w:ascii="Cambria" w:hAnsi="Cambria"/>
          <w:sz w:val="22"/>
        </w:rPr>
        <w:t>c</w:t>
      </w:r>
      <w:r w:rsidRPr="00081FE7">
        <w:rPr>
          <w:rFonts w:ascii="Cambria" w:hAnsi="Cambria"/>
          <w:sz w:val="22"/>
        </w:rPr>
        <w:t xml:space="preserve">omo mecanismo más importante para la gestión del servicio al ciudadano, se deben definir acciones </w:t>
      </w:r>
      <w:r w:rsidR="00537D3C">
        <w:rPr>
          <w:rFonts w:ascii="Cambria" w:hAnsi="Cambria"/>
          <w:sz w:val="22"/>
        </w:rPr>
        <w:t xml:space="preserve">de manera permanente </w:t>
      </w:r>
      <w:r w:rsidRPr="00081FE7">
        <w:rPr>
          <w:rFonts w:ascii="Cambria" w:hAnsi="Cambria"/>
          <w:sz w:val="22"/>
        </w:rPr>
        <w:t>que permitan cualificar y fortalecer las competencias de los servidores públicos que atienden a los ciudadanos</w:t>
      </w:r>
      <w:r w:rsidR="00537D3C">
        <w:rPr>
          <w:rFonts w:ascii="Cambria" w:hAnsi="Cambria"/>
          <w:sz w:val="22"/>
        </w:rPr>
        <w:t xml:space="preserve"> a través de los diferentes canales oficiales de atención</w:t>
      </w:r>
      <w:r w:rsidRPr="00081FE7">
        <w:rPr>
          <w:rFonts w:ascii="Cambria" w:hAnsi="Cambria"/>
          <w:sz w:val="22"/>
        </w:rPr>
        <w:t xml:space="preserve">, incluyendo en el Plan Institucional de Capacitación temas relacionados con: cultura de servicio al ciudadano, innovación en la administración pública, ética y valores del servidor público, normatividad, competencias, gestión al cambio, lenguaje claro, entre otros. Así mismo, incluir en el Plan de Bienestar e Incentivos reconocimientos </w:t>
      </w:r>
      <w:r w:rsidR="00537D3C">
        <w:rPr>
          <w:rFonts w:ascii="Cambria" w:hAnsi="Cambria"/>
          <w:sz w:val="22"/>
        </w:rPr>
        <w:t xml:space="preserve">y estímulos </w:t>
      </w:r>
      <w:r w:rsidRPr="00081FE7">
        <w:rPr>
          <w:rFonts w:ascii="Cambria" w:hAnsi="Cambria"/>
          <w:sz w:val="22"/>
        </w:rPr>
        <w:t>(no monetarios) para destacar el desempeño de los servidores públicos frente al servicio prestado al ciudadano.</w:t>
      </w:r>
    </w:p>
    <w:p w:rsidR="00081FE7" w:rsidRPr="00081FE7" w:rsidRDefault="00081FE7" w:rsidP="00081FE7">
      <w:pPr>
        <w:spacing w:after="2" w:line="259" w:lineRule="auto"/>
        <w:jc w:val="both"/>
        <w:rPr>
          <w:rFonts w:ascii="Cambria" w:hAnsi="Cambria"/>
          <w:sz w:val="22"/>
        </w:rPr>
      </w:pPr>
    </w:p>
    <w:p w:rsidR="00081FE7" w:rsidRPr="00081FE7" w:rsidRDefault="00680DF8" w:rsidP="00081FE7">
      <w:pPr>
        <w:spacing w:after="2" w:line="259" w:lineRule="auto"/>
        <w:ind w:left="360"/>
        <w:jc w:val="both"/>
        <w:rPr>
          <w:rFonts w:ascii="Cambria" w:hAnsi="Cambria"/>
          <w:sz w:val="22"/>
        </w:rPr>
      </w:pPr>
      <w:r w:rsidRPr="00680DF8">
        <w:rPr>
          <w:rFonts w:ascii="Cambria" w:hAnsi="Cambria"/>
          <w:sz w:val="22"/>
        </w:rPr>
        <w:t>Durante la vigencia 2022</w:t>
      </w:r>
      <w:r w:rsidR="00081FE7" w:rsidRPr="00680DF8">
        <w:rPr>
          <w:rFonts w:ascii="Cambria" w:hAnsi="Cambria"/>
          <w:sz w:val="22"/>
        </w:rPr>
        <w:t xml:space="preserve">, </w:t>
      </w:r>
      <w:r w:rsidRPr="00680DF8">
        <w:rPr>
          <w:rFonts w:ascii="Cambria" w:hAnsi="Cambria"/>
          <w:sz w:val="22"/>
        </w:rPr>
        <w:t>el 33.33%</w:t>
      </w:r>
      <w:r w:rsidR="00081FE7" w:rsidRPr="00680DF8">
        <w:rPr>
          <w:rFonts w:ascii="Cambria" w:hAnsi="Cambria"/>
          <w:sz w:val="22"/>
        </w:rPr>
        <w:t xml:space="preserve"> </w:t>
      </w:r>
      <w:r w:rsidRPr="00680DF8">
        <w:rPr>
          <w:rFonts w:ascii="Cambria" w:hAnsi="Cambria"/>
          <w:sz w:val="22"/>
        </w:rPr>
        <w:t>de los gerentes</w:t>
      </w:r>
      <w:r w:rsidR="00081FE7" w:rsidRPr="00680DF8">
        <w:rPr>
          <w:rFonts w:ascii="Cambria" w:hAnsi="Cambria"/>
          <w:sz w:val="22"/>
        </w:rPr>
        <w:t xml:space="preserve"> públicos de la UIAF </w:t>
      </w:r>
      <w:r w:rsidRPr="00680DF8">
        <w:rPr>
          <w:rFonts w:ascii="Cambria" w:hAnsi="Cambria"/>
          <w:sz w:val="22"/>
        </w:rPr>
        <w:t>terminaron el curso de integridad, transparencia o lucha contra la corrupción</w:t>
      </w:r>
      <w:r w:rsidR="00081FE7" w:rsidRPr="00680DF8">
        <w:rPr>
          <w:rFonts w:ascii="Cambria" w:hAnsi="Cambria"/>
          <w:sz w:val="22"/>
        </w:rPr>
        <w:t>,</w:t>
      </w:r>
      <w:r w:rsidRPr="00680DF8">
        <w:rPr>
          <w:rFonts w:ascii="Cambria" w:hAnsi="Cambria"/>
          <w:sz w:val="22"/>
        </w:rPr>
        <w:t xml:space="preserve"> así como el 61.11% de los servidores públicos y 16.67% de los contratistas</w:t>
      </w:r>
      <w:r w:rsidR="00081FE7" w:rsidRPr="00680DF8">
        <w:rPr>
          <w:rFonts w:ascii="Cambria" w:hAnsi="Cambria"/>
          <w:sz w:val="22"/>
        </w:rPr>
        <w:t>.</w:t>
      </w:r>
    </w:p>
    <w:p w:rsidR="00081FE7" w:rsidRPr="00081FE7" w:rsidRDefault="00081FE7" w:rsidP="00081FE7">
      <w:pPr>
        <w:rPr>
          <w:rFonts w:ascii="Cambria" w:hAnsi="Cambria"/>
          <w:sz w:val="22"/>
        </w:rPr>
      </w:pPr>
    </w:p>
    <w:p w:rsidR="00081FE7" w:rsidRDefault="00081FE7" w:rsidP="00081FE7">
      <w:pPr>
        <w:numPr>
          <w:ilvl w:val="0"/>
          <w:numId w:val="42"/>
        </w:numPr>
        <w:spacing w:after="2" w:line="259" w:lineRule="auto"/>
        <w:jc w:val="both"/>
        <w:rPr>
          <w:rFonts w:ascii="Cambria" w:hAnsi="Cambria"/>
          <w:sz w:val="22"/>
        </w:rPr>
      </w:pPr>
      <w:r w:rsidRPr="00081FE7">
        <w:rPr>
          <w:rFonts w:ascii="Cambria" w:hAnsi="Cambria"/>
          <w:b/>
          <w:sz w:val="22"/>
        </w:rPr>
        <w:t>Relacionamiento con el Ciudadano:</w:t>
      </w:r>
      <w:r w:rsidRPr="00081FE7">
        <w:rPr>
          <w:rFonts w:ascii="Cambria" w:hAnsi="Cambria"/>
          <w:sz w:val="22"/>
        </w:rPr>
        <w:t xml:space="preserve"> </w:t>
      </w:r>
      <w:r w:rsidR="00537D3C">
        <w:rPr>
          <w:rFonts w:ascii="Cambria" w:hAnsi="Cambria"/>
          <w:sz w:val="22"/>
        </w:rPr>
        <w:t>d</w:t>
      </w:r>
      <w:r w:rsidRPr="00081FE7">
        <w:rPr>
          <w:rFonts w:ascii="Cambria" w:hAnsi="Cambria"/>
          <w:sz w:val="22"/>
        </w:rPr>
        <w:t>urante la vigencia 20</w:t>
      </w:r>
      <w:r w:rsidR="00537D3C">
        <w:rPr>
          <w:rFonts w:ascii="Cambria" w:hAnsi="Cambria"/>
          <w:sz w:val="22"/>
        </w:rPr>
        <w:t>19</w:t>
      </w:r>
      <w:r w:rsidRPr="00081FE7">
        <w:rPr>
          <w:rFonts w:ascii="Cambria" w:hAnsi="Cambria"/>
          <w:sz w:val="22"/>
        </w:rPr>
        <w:t xml:space="preserve">, </w:t>
      </w:r>
      <w:r w:rsidR="009F2A24">
        <w:rPr>
          <w:rFonts w:ascii="Cambria" w:hAnsi="Cambria"/>
          <w:sz w:val="22"/>
        </w:rPr>
        <w:t xml:space="preserve">como parte del proceso de Direccionamiento y Planeación Estratégica 2019 - 2022, </w:t>
      </w:r>
      <w:r w:rsidRPr="00081FE7">
        <w:rPr>
          <w:rFonts w:ascii="Cambria" w:hAnsi="Cambria"/>
          <w:sz w:val="22"/>
        </w:rPr>
        <w:t>la entidad llevó a cabo las actividades de documentar de acuerdo con la metodología propuesta por el Departamento Nacional de Planeación la caracterización de los ciudadanos, usuarios y grupos de interés, a fin de conocer las características y necesidades, expectativas, intereses y percepción del servicio recibido de su población objetivo. De otra parte, se evidencia la necesidad de realizar mediciones periódicas de la percepción de los ciudadanos con respecto a la calidad y oportunidad de los servicios recibidos, así como los canales y facilidad de acceso a la información pública.</w:t>
      </w:r>
    </w:p>
    <w:p w:rsidR="00081FE7" w:rsidRPr="00081FE7" w:rsidRDefault="00081FE7" w:rsidP="00081FE7">
      <w:pPr>
        <w:spacing w:after="2" w:line="259" w:lineRule="auto"/>
        <w:rPr>
          <w:rFonts w:ascii="Cambria" w:hAnsi="Cambria"/>
          <w:sz w:val="22"/>
        </w:rPr>
      </w:pPr>
    </w:p>
    <w:p w:rsidR="00081FE7" w:rsidRPr="00081FE7" w:rsidRDefault="00081FE7" w:rsidP="00081FE7">
      <w:pPr>
        <w:pStyle w:val="Ttulo1"/>
        <w:numPr>
          <w:ilvl w:val="2"/>
          <w:numId w:val="21"/>
        </w:numPr>
        <w:rPr>
          <w:color w:val="auto"/>
          <w:sz w:val="22"/>
        </w:rPr>
      </w:pPr>
      <w:r w:rsidRPr="00081FE7">
        <w:rPr>
          <w:color w:val="auto"/>
          <w:sz w:val="22"/>
        </w:rPr>
        <w:t>Diagnóstico del Avance de la Implementación de la Ley de Transparencia</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Como parte de la</w:t>
      </w:r>
      <w:r w:rsidR="009F2A24">
        <w:rPr>
          <w:rFonts w:ascii="Cambria" w:hAnsi="Cambria"/>
          <w:sz w:val="22"/>
        </w:rPr>
        <w:t xml:space="preserve"> migración y</w:t>
      </w:r>
      <w:r w:rsidRPr="00081FE7">
        <w:rPr>
          <w:rFonts w:ascii="Cambria" w:hAnsi="Cambria"/>
          <w:sz w:val="22"/>
        </w:rPr>
        <w:t xml:space="preserve"> actualización realizada al sitio web de la entidad, se </w:t>
      </w:r>
      <w:r w:rsidR="009F2A24">
        <w:rPr>
          <w:rFonts w:ascii="Cambria" w:hAnsi="Cambria"/>
          <w:sz w:val="22"/>
        </w:rPr>
        <w:t xml:space="preserve">dio inicio al proceso de implementación de los </w:t>
      </w:r>
      <w:r w:rsidRPr="00081FE7">
        <w:rPr>
          <w:rFonts w:ascii="Cambria" w:hAnsi="Cambria"/>
          <w:sz w:val="22"/>
        </w:rPr>
        <w:t xml:space="preserve">criterios </w:t>
      </w:r>
      <w:r w:rsidR="009F2A24">
        <w:rPr>
          <w:rFonts w:ascii="Cambria" w:hAnsi="Cambria"/>
          <w:sz w:val="22"/>
        </w:rPr>
        <w:t xml:space="preserve">técnicos, de seguridad, accesibilidad y publicación de información, </w:t>
      </w:r>
      <w:r w:rsidRPr="00081FE7">
        <w:rPr>
          <w:rFonts w:ascii="Cambria" w:hAnsi="Cambria"/>
          <w:sz w:val="22"/>
        </w:rPr>
        <w:t xml:space="preserve">establecidos en la </w:t>
      </w:r>
      <w:r w:rsidR="009F2A24">
        <w:rPr>
          <w:rFonts w:ascii="Cambria" w:hAnsi="Cambria"/>
          <w:sz w:val="22"/>
        </w:rPr>
        <w:t xml:space="preserve">resolución 1519 de 2020, como lineamientos de </w:t>
      </w:r>
      <w:r w:rsidRPr="00081FE7">
        <w:rPr>
          <w:rFonts w:ascii="Cambria" w:hAnsi="Cambria"/>
          <w:sz w:val="22"/>
        </w:rPr>
        <w:t>la Ley de Transparencia y del Derecho de Acceso a la Información Pública.</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autoSpaceDE w:val="0"/>
        <w:autoSpaceDN w:val="0"/>
        <w:adjustRightInd w:val="0"/>
        <w:jc w:val="both"/>
        <w:rPr>
          <w:rFonts w:ascii="Cambria" w:hAnsi="Cambria"/>
          <w:sz w:val="22"/>
        </w:rPr>
      </w:pPr>
      <w:r w:rsidRPr="00081FE7">
        <w:rPr>
          <w:rFonts w:ascii="Cambria" w:hAnsi="Cambria"/>
          <w:sz w:val="22"/>
        </w:rPr>
        <w:t xml:space="preserve">Trimestralmente y como una actividad programada en el Plan de Acción Institucional, se realiza el seguimiento a la publicación </w:t>
      </w:r>
      <w:r w:rsidR="009F2A24">
        <w:rPr>
          <w:rFonts w:ascii="Cambria" w:hAnsi="Cambria"/>
          <w:sz w:val="22"/>
        </w:rPr>
        <w:t xml:space="preserve">y actualización </w:t>
      </w:r>
      <w:r w:rsidRPr="00081FE7">
        <w:rPr>
          <w:rFonts w:ascii="Cambria" w:hAnsi="Cambria"/>
          <w:sz w:val="22"/>
        </w:rPr>
        <w:t xml:space="preserve">de </w:t>
      </w:r>
      <w:r w:rsidR="009F2A24">
        <w:rPr>
          <w:rFonts w:ascii="Cambria" w:hAnsi="Cambria"/>
          <w:sz w:val="22"/>
        </w:rPr>
        <w:t xml:space="preserve">la </w:t>
      </w:r>
      <w:r w:rsidRPr="00081FE7">
        <w:rPr>
          <w:rFonts w:ascii="Cambria" w:hAnsi="Cambria"/>
          <w:sz w:val="22"/>
        </w:rPr>
        <w:t>información</w:t>
      </w:r>
      <w:r w:rsidR="009F2A24">
        <w:rPr>
          <w:rFonts w:ascii="Cambria" w:hAnsi="Cambria"/>
          <w:sz w:val="22"/>
        </w:rPr>
        <w:t xml:space="preserve"> institucional</w:t>
      </w:r>
      <w:r w:rsidRPr="00081FE7">
        <w:rPr>
          <w:rFonts w:ascii="Cambria" w:hAnsi="Cambria"/>
          <w:sz w:val="22"/>
        </w:rPr>
        <w:t xml:space="preserve">, de acuerdo con los requisitos establecidos por la Ley de Transparencia y del Derecho de Acceso a la Información Pública, con el fin de </w:t>
      </w:r>
      <w:r w:rsidR="009F2A24">
        <w:rPr>
          <w:rFonts w:ascii="Cambria" w:hAnsi="Cambria"/>
          <w:sz w:val="22"/>
        </w:rPr>
        <w:t>tratar de acercar al ciudadano a la gestión pública de la UIAF</w:t>
      </w:r>
      <w:r w:rsidRPr="00081FE7">
        <w:rPr>
          <w:rFonts w:ascii="Cambria" w:hAnsi="Cambria"/>
          <w:sz w:val="22"/>
        </w:rPr>
        <w:t>, cuyo informe de autodiagnóstico realizado en la vigencia 202</w:t>
      </w:r>
      <w:r w:rsidR="00DB42ED">
        <w:rPr>
          <w:rFonts w:ascii="Cambria" w:hAnsi="Cambria"/>
          <w:sz w:val="22"/>
        </w:rPr>
        <w:t>2</w:t>
      </w:r>
      <w:r w:rsidRPr="00081FE7">
        <w:rPr>
          <w:rFonts w:ascii="Cambria" w:hAnsi="Cambria"/>
          <w:sz w:val="22"/>
        </w:rPr>
        <w:t xml:space="preserve">, arrojó un </w:t>
      </w:r>
      <w:r w:rsidRPr="00081FE7">
        <w:rPr>
          <w:rFonts w:ascii="Cambria" w:hAnsi="Cambria"/>
          <w:sz w:val="22"/>
        </w:rPr>
        <w:lastRenderedPageBreak/>
        <w:t xml:space="preserve">cumplimiento del </w:t>
      </w:r>
      <w:r w:rsidR="00DB42ED">
        <w:rPr>
          <w:rFonts w:ascii="Cambria" w:hAnsi="Cambria"/>
          <w:sz w:val="22"/>
        </w:rPr>
        <w:t>86</w:t>
      </w:r>
      <w:r w:rsidRPr="00081FE7">
        <w:rPr>
          <w:rFonts w:ascii="Cambria" w:hAnsi="Cambria"/>
          <w:sz w:val="22"/>
        </w:rPr>
        <w:t>%.</w:t>
      </w:r>
      <w:r w:rsidR="00DB42ED">
        <w:rPr>
          <w:rFonts w:ascii="Cambria" w:hAnsi="Cambria"/>
          <w:sz w:val="22"/>
        </w:rPr>
        <w:t xml:space="preserve"> La entidad se encuentra a la espera de recibir el informe de la auditoría que realiza anualmente la </w:t>
      </w:r>
      <w:r w:rsidRPr="00081FE7">
        <w:rPr>
          <w:rFonts w:ascii="Cambria" w:hAnsi="Cambria"/>
          <w:sz w:val="22"/>
        </w:rPr>
        <w:t>Procuraduría General de la Nación</w:t>
      </w:r>
      <w:r w:rsidR="00DB42ED">
        <w:rPr>
          <w:rFonts w:ascii="Cambria" w:hAnsi="Cambria"/>
          <w:sz w:val="22"/>
        </w:rPr>
        <w:t xml:space="preserve"> e iniciar la implementación del respectivo plan de mejoramiento.</w:t>
      </w:r>
    </w:p>
    <w:p w:rsidR="00081FE7" w:rsidRPr="00081FE7" w:rsidRDefault="00081FE7" w:rsidP="00081FE7">
      <w:pPr>
        <w:autoSpaceDE w:val="0"/>
        <w:autoSpaceDN w:val="0"/>
        <w:adjustRightInd w:val="0"/>
        <w:jc w:val="both"/>
        <w:rPr>
          <w:rFonts w:ascii="Cambria" w:hAnsi="Cambria"/>
          <w:sz w:val="22"/>
        </w:rPr>
      </w:pPr>
    </w:p>
    <w:p w:rsidR="00081FE7" w:rsidRPr="00081FE7" w:rsidRDefault="00081FE7" w:rsidP="00081FE7">
      <w:pPr>
        <w:autoSpaceDE w:val="0"/>
        <w:autoSpaceDN w:val="0"/>
        <w:adjustRightInd w:val="0"/>
        <w:jc w:val="both"/>
        <w:rPr>
          <w:rFonts w:ascii="Cambria" w:hAnsi="Cambria"/>
          <w:sz w:val="22"/>
        </w:rPr>
      </w:pPr>
    </w:p>
    <w:p w:rsidR="00081FE7" w:rsidRPr="00081FE7" w:rsidRDefault="00081FE7" w:rsidP="00081FE7">
      <w:pPr>
        <w:pStyle w:val="Ttulo1"/>
        <w:numPr>
          <w:ilvl w:val="2"/>
          <w:numId w:val="21"/>
        </w:numPr>
        <w:jc w:val="both"/>
        <w:rPr>
          <w:color w:val="auto"/>
          <w:sz w:val="22"/>
        </w:rPr>
      </w:pPr>
      <w:r w:rsidRPr="00081FE7">
        <w:rPr>
          <w:color w:val="auto"/>
          <w:sz w:val="22"/>
        </w:rPr>
        <w:t>Receptores, destinatarios y otros órganos competentes para conocer información de inteligencia de la UIAF</w:t>
      </w:r>
    </w:p>
    <w:p w:rsidR="00081FE7" w:rsidRPr="00081FE7" w:rsidRDefault="00081FE7" w:rsidP="00081FE7">
      <w:pPr>
        <w:spacing w:after="2" w:line="259" w:lineRule="auto"/>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La Ley Estatutaria 1621 de 2013 tiene por objeto fortalecer el marco jurídico que permite a los organismos que llevan a cabo actividades de inteligencia y contrainteligencia cumplir adecuadamente con su misión constitucional y legal. Así mismo, establece los límites y fines de las actividades de inteligencia y contrainteligencia, los principios que las rigen, los mecanismos de control y supervisión, la regulación de las bases de datos, la protección de los agentes, la coordinación y cooperación entre los organismos, y los deberes de colaboración de las entidades públicas y privadas.</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En su artículo 4°, establece que, en especial la función de inteligencia estará limitada por el principio de “reserva legal”, que garantiza la protección de los derechos a la honra, el buen nombre, a la intimidad personal y familiar, y al debido proceso.</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Quienes autoricen y lleven a cabo actividades de inteligencia y contrainteligencia, además de verificar la relación entre la actividad y los fines enunciados en el artículo 4° de la Ley 1621 de 2013, evaluarán y observarán de manera estricta y en todo momento el principio de necesidad, principio de idoneidad y el principio de proporcionalidad.</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 xml:space="preserve">Señalados los anteriores aspectos generales, es pertinente indicar que la ley de inteligencia estableció nuevos receptores y destinatarios de la información de inteligencia y confirmó los que ya venían establecidos en las leyes de creación y funciones. </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Para el caso de la UIAF, estos receptores de información se encuentran expresamente señalados en la ley, así.</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 xml:space="preserve">El artículo 36 de la Ley 1621 de 2013 que señala: </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ARTÍCULO 36. RECEPTORES DE PRODUCTOS DE INTELIGENCIA Y CONTRAINTELIGENCIA. Podrán recibir productos de inteligencia y contrainteligencia, de conformidad con las reglas de reserva establecidas en los artículos 33 y 38 de la presente ley:</w:t>
      </w:r>
    </w:p>
    <w:p w:rsidR="00081FE7" w:rsidRPr="00081FE7" w:rsidRDefault="00081FE7" w:rsidP="00081FE7">
      <w:pPr>
        <w:pStyle w:val="Prrafodelista"/>
        <w:numPr>
          <w:ilvl w:val="0"/>
          <w:numId w:val="36"/>
        </w:numPr>
        <w:spacing w:after="2"/>
        <w:jc w:val="both"/>
        <w:rPr>
          <w:rFonts w:ascii="Cambria" w:hAnsi="Cambria"/>
        </w:rPr>
      </w:pPr>
      <w:r w:rsidRPr="00081FE7">
        <w:rPr>
          <w:rFonts w:ascii="Cambria" w:hAnsi="Cambria"/>
        </w:rPr>
        <w:t xml:space="preserve">El </w:t>
      </w:r>
      <w:r w:rsidR="0080466B" w:rsidRPr="00081FE7">
        <w:rPr>
          <w:rFonts w:ascii="Cambria" w:hAnsi="Cambria"/>
        </w:rPr>
        <w:t>presidente</w:t>
      </w:r>
      <w:r w:rsidRPr="00081FE7">
        <w:rPr>
          <w:rFonts w:ascii="Cambria" w:hAnsi="Cambria"/>
        </w:rPr>
        <w:t xml:space="preserve"> de la República;</w:t>
      </w:r>
    </w:p>
    <w:p w:rsidR="00081FE7" w:rsidRPr="00081FE7" w:rsidRDefault="00081FE7" w:rsidP="00081FE7">
      <w:pPr>
        <w:pStyle w:val="Prrafodelista"/>
        <w:numPr>
          <w:ilvl w:val="0"/>
          <w:numId w:val="36"/>
        </w:numPr>
        <w:spacing w:after="2"/>
        <w:jc w:val="both"/>
        <w:rPr>
          <w:rFonts w:ascii="Cambria" w:hAnsi="Cambria"/>
        </w:rPr>
      </w:pPr>
      <w:r w:rsidRPr="00081FE7">
        <w:rPr>
          <w:rFonts w:ascii="Cambria" w:hAnsi="Cambria"/>
        </w:rPr>
        <w:lastRenderedPageBreak/>
        <w:t>Los miembros del Consejo de Seguridad Nacional y, en lo relacionado con las sesiones a las que asistan, los invitados al Consejo de Seguridad Nacional;</w:t>
      </w:r>
    </w:p>
    <w:p w:rsidR="00081FE7" w:rsidRPr="00081FE7" w:rsidRDefault="00081FE7" w:rsidP="00081FE7">
      <w:pPr>
        <w:pStyle w:val="Prrafodelista"/>
        <w:numPr>
          <w:ilvl w:val="0"/>
          <w:numId w:val="36"/>
        </w:numPr>
        <w:spacing w:after="2"/>
        <w:jc w:val="both"/>
        <w:rPr>
          <w:rFonts w:ascii="Cambria" w:hAnsi="Cambria"/>
        </w:rPr>
      </w:pPr>
      <w:r w:rsidRPr="00081FE7">
        <w:rPr>
          <w:rFonts w:ascii="Cambria" w:hAnsi="Cambria"/>
        </w:rPr>
        <w:t xml:space="preserve">El </w:t>
      </w:r>
      <w:r w:rsidR="0080466B">
        <w:rPr>
          <w:rFonts w:ascii="Cambria" w:hAnsi="Cambria"/>
        </w:rPr>
        <w:t>s</w:t>
      </w:r>
      <w:r w:rsidRPr="00081FE7">
        <w:rPr>
          <w:rFonts w:ascii="Cambria" w:hAnsi="Cambria"/>
        </w:rPr>
        <w:t xml:space="preserve">ecretario </w:t>
      </w:r>
      <w:r w:rsidR="0080466B">
        <w:rPr>
          <w:rFonts w:ascii="Cambria" w:hAnsi="Cambria"/>
        </w:rPr>
        <w:t>g</w:t>
      </w:r>
      <w:r w:rsidRPr="00081FE7">
        <w:rPr>
          <w:rFonts w:ascii="Cambria" w:hAnsi="Cambria"/>
        </w:rPr>
        <w:t xml:space="preserve">eneral de la Presidencia de la República, los </w:t>
      </w:r>
      <w:r w:rsidR="0080466B" w:rsidRPr="00081FE7">
        <w:rPr>
          <w:rFonts w:ascii="Cambria" w:hAnsi="Cambria"/>
        </w:rPr>
        <w:t>ministros</w:t>
      </w:r>
      <w:r w:rsidRPr="00081FE7">
        <w:rPr>
          <w:rFonts w:ascii="Cambria" w:hAnsi="Cambria"/>
        </w:rPr>
        <w:t xml:space="preserve"> y </w:t>
      </w:r>
      <w:r w:rsidR="0080466B">
        <w:rPr>
          <w:rFonts w:ascii="Cambria" w:hAnsi="Cambria"/>
        </w:rPr>
        <w:t>v</w:t>
      </w:r>
      <w:r w:rsidRPr="00081FE7">
        <w:rPr>
          <w:rFonts w:ascii="Cambria" w:hAnsi="Cambria"/>
        </w:rPr>
        <w:t xml:space="preserve">iceministros, y el </w:t>
      </w:r>
      <w:r w:rsidR="0080466B">
        <w:rPr>
          <w:rFonts w:ascii="Cambria" w:hAnsi="Cambria"/>
        </w:rPr>
        <w:t>s</w:t>
      </w:r>
      <w:r w:rsidRPr="00081FE7">
        <w:rPr>
          <w:rFonts w:ascii="Cambria" w:hAnsi="Cambria"/>
        </w:rPr>
        <w:t xml:space="preserve">ecretario </w:t>
      </w:r>
      <w:r w:rsidR="0080466B">
        <w:rPr>
          <w:rFonts w:ascii="Cambria" w:hAnsi="Cambria"/>
        </w:rPr>
        <w:t>p</w:t>
      </w:r>
      <w:r w:rsidRPr="00081FE7">
        <w:rPr>
          <w:rFonts w:ascii="Cambria" w:hAnsi="Cambria"/>
        </w:rPr>
        <w:t xml:space="preserve">rivado del </w:t>
      </w:r>
      <w:r w:rsidR="0080466B">
        <w:rPr>
          <w:rFonts w:ascii="Cambria" w:hAnsi="Cambria"/>
        </w:rPr>
        <w:t>p</w:t>
      </w:r>
      <w:r w:rsidRPr="00081FE7">
        <w:rPr>
          <w:rFonts w:ascii="Cambria" w:hAnsi="Cambria"/>
        </w:rPr>
        <w:t>residente de la República en lo relacionado con el cumplimiento de sus funciones;</w:t>
      </w:r>
    </w:p>
    <w:p w:rsidR="00081FE7" w:rsidRPr="00081FE7" w:rsidRDefault="00081FE7" w:rsidP="00081FE7">
      <w:pPr>
        <w:pStyle w:val="Prrafodelista"/>
        <w:numPr>
          <w:ilvl w:val="0"/>
          <w:numId w:val="36"/>
        </w:numPr>
        <w:spacing w:after="2"/>
        <w:jc w:val="both"/>
        <w:rPr>
          <w:rFonts w:ascii="Cambria" w:hAnsi="Cambria"/>
        </w:rPr>
      </w:pPr>
      <w:r w:rsidRPr="00081FE7">
        <w:rPr>
          <w:rFonts w:ascii="Cambria" w:hAnsi="Cambria"/>
        </w:rPr>
        <w:t>Los miembros de la Comisión Legal de Inteligencia y Contrainteligencia;</w:t>
      </w:r>
    </w:p>
    <w:p w:rsidR="00081FE7" w:rsidRPr="00081FE7" w:rsidRDefault="00081FE7" w:rsidP="00081FE7">
      <w:pPr>
        <w:pStyle w:val="Prrafodelista"/>
        <w:numPr>
          <w:ilvl w:val="0"/>
          <w:numId w:val="36"/>
        </w:numPr>
        <w:spacing w:after="2"/>
        <w:jc w:val="both"/>
        <w:rPr>
          <w:rFonts w:ascii="Cambria" w:hAnsi="Cambria"/>
        </w:rPr>
      </w:pPr>
      <w:r w:rsidRPr="00081FE7">
        <w:rPr>
          <w:rFonts w:ascii="Cambria" w:hAnsi="Cambria"/>
        </w:rPr>
        <w:t>Los miembros de la Fuerza Pública de acuerdo con sus funciones y niveles de acceso a la información;</w:t>
      </w:r>
    </w:p>
    <w:p w:rsidR="00081FE7" w:rsidRPr="00081FE7" w:rsidRDefault="00081FE7" w:rsidP="00081FE7">
      <w:pPr>
        <w:pStyle w:val="Prrafodelista"/>
        <w:numPr>
          <w:ilvl w:val="0"/>
          <w:numId w:val="36"/>
        </w:numPr>
        <w:spacing w:after="2"/>
        <w:jc w:val="both"/>
        <w:rPr>
          <w:rFonts w:ascii="Cambria" w:hAnsi="Cambria"/>
        </w:rPr>
      </w:pPr>
      <w:r w:rsidRPr="00081FE7">
        <w:rPr>
          <w:rFonts w:ascii="Cambria" w:hAnsi="Cambria"/>
        </w:rPr>
        <w:t>Los demás servidores públicos de acuerdo con sus funciones y niveles de acceso a la información de conformidad con el artículo 37 de la presente ley, y siempre que aprueben los exámenes de credibilidad y confiabilidad establecidos para ello; y</w:t>
      </w:r>
    </w:p>
    <w:p w:rsidR="00081FE7" w:rsidRPr="00081FE7" w:rsidRDefault="00081FE7" w:rsidP="00081FE7">
      <w:pPr>
        <w:pStyle w:val="Prrafodelista"/>
        <w:numPr>
          <w:ilvl w:val="0"/>
          <w:numId w:val="36"/>
        </w:numPr>
        <w:spacing w:after="2"/>
        <w:jc w:val="both"/>
        <w:rPr>
          <w:rFonts w:ascii="Cambria" w:hAnsi="Cambria"/>
        </w:rPr>
      </w:pPr>
      <w:r w:rsidRPr="00081FE7">
        <w:rPr>
          <w:rFonts w:ascii="Cambria" w:hAnsi="Cambria"/>
        </w:rPr>
        <w:t>Los organismos de inteligencia de otros países con los que existan programas de cooperación.</w:t>
      </w:r>
    </w:p>
    <w:p w:rsidR="00081FE7" w:rsidRPr="00081FE7" w:rsidRDefault="00081FE7" w:rsidP="00081FE7">
      <w:pPr>
        <w:pStyle w:val="Prrafodelista"/>
        <w:numPr>
          <w:ilvl w:val="0"/>
          <w:numId w:val="36"/>
        </w:numPr>
        <w:spacing w:after="2"/>
        <w:jc w:val="both"/>
        <w:rPr>
          <w:rFonts w:ascii="Cambria" w:hAnsi="Cambria"/>
        </w:rPr>
      </w:pPr>
      <w:r w:rsidRPr="00081FE7">
        <w:rPr>
          <w:rFonts w:ascii="Cambria" w:hAnsi="Cambria"/>
        </w:rPr>
        <w:t>Los asesores externos y contratistas de inteligencia y contrainteligencia de acuerdo con el nivel de acceso a la información (artículo 36, parágrafo 2º).</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 xml:space="preserve">Aquí es importante detenerse en la locución “podrán recibir productos de inteligencia”, pues esta alude a una potestad (no necesariamente una obligación irrestricta) y a la naturaleza de la información: productos de inteligencia. Es decir, no acceso a bases de datos, sino a productos, vale decir, a aquellos informes o análisis que hayan surtido el ciclo de inteligencia establecido en el artículo 2º de la Ley 1621 de 2013. En armonía con el artículo 13 literal a. estos productos están encaminados a toma de decisiones por parte del Gobierno Nacional. </w:t>
      </w:r>
    </w:p>
    <w:p w:rsidR="00081FE7" w:rsidRPr="00081FE7" w:rsidRDefault="00081FE7" w:rsidP="00081FE7">
      <w:pPr>
        <w:ind w:right="55"/>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 xml:space="preserve">Ahora bien, el artículo 34 se refiere a otros “destinatarios” de la información de inteligencia, </w:t>
      </w:r>
      <w:r w:rsidR="007A689C" w:rsidRPr="00081FE7">
        <w:rPr>
          <w:rFonts w:ascii="Cambria" w:hAnsi="Cambria"/>
          <w:sz w:val="22"/>
        </w:rPr>
        <w:t>que,</w:t>
      </w:r>
      <w:r w:rsidRPr="00081FE7">
        <w:rPr>
          <w:rFonts w:ascii="Cambria" w:hAnsi="Cambria"/>
          <w:sz w:val="22"/>
        </w:rPr>
        <w:t xml:space="preserve"> si bien no tienen </w:t>
      </w:r>
      <w:r w:rsidRPr="00081FE7">
        <w:rPr>
          <w:rFonts w:ascii="Cambria" w:hAnsi="Cambria"/>
          <w:i/>
          <w:sz w:val="22"/>
        </w:rPr>
        <w:t>stricto sensu</w:t>
      </w:r>
      <w:r w:rsidRPr="00081FE7">
        <w:rPr>
          <w:rFonts w:ascii="Cambria" w:hAnsi="Cambria"/>
          <w:sz w:val="22"/>
        </w:rPr>
        <w:t xml:space="preserve"> la categoría de Receptores de Productos de Inteligencia, con la naturaleza y características de la información dirigida a receptores, sí pueden solicitarla para el debido ejercicio de sus funciones. En el caso de la UIAF, el mismo artículo contiene un parágrafo que reafirma el destinatario natural de la información de UIAF, acorde con su norma especial de creación y asignación de funciones. El artículo 34 señala:</w:t>
      </w:r>
    </w:p>
    <w:p w:rsidR="00081FE7" w:rsidRPr="00081FE7" w:rsidRDefault="00081FE7" w:rsidP="00081FE7">
      <w:pPr>
        <w:ind w:right="55"/>
        <w:jc w:val="both"/>
        <w:rPr>
          <w:rFonts w:ascii="Cambria" w:hAnsi="Cambria"/>
          <w:sz w:val="22"/>
        </w:rPr>
      </w:pPr>
    </w:p>
    <w:p w:rsidR="00081FE7" w:rsidRPr="00081FE7" w:rsidRDefault="00081FE7" w:rsidP="00081FE7">
      <w:pPr>
        <w:ind w:left="142" w:right="55"/>
        <w:jc w:val="both"/>
        <w:rPr>
          <w:rFonts w:ascii="Cambria" w:hAnsi="Cambria"/>
          <w:sz w:val="22"/>
        </w:rPr>
      </w:pPr>
      <w:r w:rsidRPr="00081FE7">
        <w:rPr>
          <w:rFonts w:ascii="Cambria" w:hAnsi="Cambria"/>
          <w:sz w:val="22"/>
        </w:rPr>
        <w:t>“ARTÍCULO 34. INOPONIBILIDAD DE LA RESERVA. El carácter reservado de los documentos de inteligencia y contrainteligencia no será oponible a las autoridades judiciales, disciplinarias y fiscales que lo soliciten para el debido ejercicio de sus funciones, siempre que su difusión no ponga en riesgo la seguridad o la defensa nacional, ni la integridad personal de los ciudadanos, los agentes, o las fuentes. Corresponderá a dichas autoridades asegurar la reserva de los documentos que lleguen a conocer en desarrollo de lo establecido en el presente artículo.</w:t>
      </w:r>
    </w:p>
    <w:p w:rsidR="00081FE7" w:rsidRPr="00081FE7" w:rsidRDefault="00081FE7" w:rsidP="00081FE7">
      <w:pPr>
        <w:ind w:left="567" w:right="55"/>
        <w:jc w:val="both"/>
        <w:rPr>
          <w:rFonts w:ascii="Cambria" w:hAnsi="Cambria"/>
          <w:sz w:val="22"/>
        </w:rPr>
      </w:pPr>
    </w:p>
    <w:p w:rsidR="00081FE7" w:rsidRPr="00081FE7" w:rsidRDefault="00081FE7" w:rsidP="00081FE7">
      <w:pPr>
        <w:ind w:left="142" w:right="55"/>
        <w:jc w:val="both"/>
        <w:rPr>
          <w:rFonts w:ascii="Cambria" w:hAnsi="Cambria"/>
          <w:sz w:val="22"/>
        </w:rPr>
      </w:pPr>
      <w:r w:rsidRPr="00081FE7">
        <w:rPr>
          <w:rFonts w:ascii="Cambria" w:hAnsi="Cambria"/>
          <w:sz w:val="22"/>
        </w:rPr>
        <w:lastRenderedPageBreak/>
        <w:t>PARÁGRAFO. Salvo lo dispuesto en el parágrafo 4o del artículo 12 de la presente ley, la inoponibilidad de la reserva en el caso de la UIAF estará regulada de manera especial por el inciso 4o del artículo 9o de la Ley 526 de 1999, el cual quedará así: “La información que recaude la UIAF en cumplimiento de sus funciones y la que se produzca como resultado de su análisis estará sujeta a reserva, salvo que medie solicitud de las fiscalías con expresas funciones legales para investigar lavado de activos o sus delitos fuente, financiación del terrorismo y/o legitimadas para ejercitar la acción de extinción de dominio quienes deberán mantener la reserva aquí prevista.”</w:t>
      </w:r>
    </w:p>
    <w:p w:rsidR="00081FE7" w:rsidRPr="00081FE7" w:rsidRDefault="00081FE7" w:rsidP="00081FE7">
      <w:pPr>
        <w:ind w:right="55"/>
        <w:jc w:val="both"/>
        <w:rPr>
          <w:rFonts w:ascii="Cambria" w:hAnsi="Cambria"/>
          <w:sz w:val="22"/>
        </w:rPr>
      </w:pPr>
    </w:p>
    <w:p w:rsidR="00081FE7" w:rsidRPr="00081FE7" w:rsidRDefault="00081FE7" w:rsidP="00081FE7">
      <w:pPr>
        <w:spacing w:after="2" w:line="259" w:lineRule="auto"/>
        <w:ind w:right="55"/>
        <w:jc w:val="both"/>
        <w:rPr>
          <w:rFonts w:ascii="Cambria" w:hAnsi="Cambria"/>
          <w:sz w:val="22"/>
        </w:rPr>
      </w:pPr>
      <w:r w:rsidRPr="00081FE7">
        <w:rPr>
          <w:rFonts w:ascii="Cambria" w:hAnsi="Cambria"/>
          <w:sz w:val="22"/>
        </w:rPr>
        <w:t xml:space="preserve">Un análisis de lo dispuesto en el primer inciso señala que debe realizarse </w:t>
      </w:r>
      <w:r w:rsidRPr="00081FE7">
        <w:rPr>
          <w:rFonts w:ascii="Cambria" w:hAnsi="Cambria"/>
          <w:b/>
          <w:sz w:val="22"/>
        </w:rPr>
        <w:t>por solicitud</w:t>
      </w:r>
      <w:r w:rsidRPr="00081FE7">
        <w:rPr>
          <w:rFonts w:ascii="Cambria" w:hAnsi="Cambria"/>
          <w:sz w:val="22"/>
        </w:rPr>
        <w:t xml:space="preserve"> de estas autoridades. Debe existir además una </w:t>
      </w:r>
      <w:r w:rsidRPr="00081FE7">
        <w:rPr>
          <w:rFonts w:ascii="Cambria" w:hAnsi="Cambria"/>
          <w:b/>
          <w:sz w:val="22"/>
        </w:rPr>
        <w:t>relación indisoluble</w:t>
      </w:r>
      <w:r w:rsidRPr="00081FE7">
        <w:rPr>
          <w:rFonts w:ascii="Cambria" w:hAnsi="Cambria"/>
          <w:sz w:val="22"/>
        </w:rPr>
        <w:t xml:space="preserve"> entre lo que se solicita y el ejercicio de sus funciones, y adicionalmente, la difusión que haga el órgano de inteligencia debe tener en cuenta que </w:t>
      </w:r>
      <w:r w:rsidRPr="00081FE7">
        <w:rPr>
          <w:rFonts w:ascii="Cambria" w:hAnsi="Cambria"/>
          <w:b/>
          <w:sz w:val="22"/>
        </w:rPr>
        <w:t>no se ponga en riesgo la seguridad o la defensa nacional, ni la integridad personal de los ciudadanos, los agentes, o las fuentes.</w:t>
      </w:r>
      <w:r w:rsidRPr="00081FE7">
        <w:rPr>
          <w:rFonts w:ascii="Cambria" w:hAnsi="Cambria"/>
          <w:sz w:val="22"/>
        </w:rPr>
        <w:t xml:space="preserve"> </w:t>
      </w:r>
      <w:r w:rsidR="007A689C" w:rsidRPr="00081FE7">
        <w:rPr>
          <w:rFonts w:ascii="Cambria" w:hAnsi="Cambria"/>
          <w:sz w:val="22"/>
        </w:rPr>
        <w:t>Finalmente,</w:t>
      </w:r>
      <w:r w:rsidRPr="00081FE7">
        <w:rPr>
          <w:rFonts w:ascii="Cambria" w:hAnsi="Cambria"/>
          <w:sz w:val="22"/>
        </w:rPr>
        <w:t xml:space="preserve"> la norma señala que es deber de esas autoridades </w:t>
      </w:r>
      <w:r w:rsidRPr="00081FE7">
        <w:rPr>
          <w:rFonts w:ascii="Cambria" w:hAnsi="Cambria"/>
          <w:b/>
          <w:sz w:val="22"/>
        </w:rPr>
        <w:t>asegurar la reserva</w:t>
      </w:r>
      <w:r w:rsidRPr="00081FE7">
        <w:rPr>
          <w:rFonts w:ascii="Cambria" w:hAnsi="Cambria"/>
          <w:sz w:val="22"/>
        </w:rPr>
        <w:t xml:space="preserve"> de los documentos que lleguen a conocer en desarrollo de lo establecido en el presente artículo.</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 xml:space="preserve">El parágrafo reitera la competencia natural de la Fiscalía para obtener la información de </w:t>
      </w:r>
      <w:r w:rsidR="007A689C" w:rsidRPr="00081FE7">
        <w:rPr>
          <w:rFonts w:ascii="Cambria" w:hAnsi="Cambria"/>
          <w:sz w:val="22"/>
        </w:rPr>
        <w:t>la UIAF</w:t>
      </w:r>
      <w:r w:rsidRPr="00081FE7">
        <w:rPr>
          <w:rFonts w:ascii="Cambria" w:hAnsi="Cambria"/>
          <w:sz w:val="22"/>
        </w:rPr>
        <w:t xml:space="preserve"> de manera regular. Esta norma resulta en todo coherente con lo que han sido las funciones tradicionales de la Unidad de Información y Análisis Financiero, y en general las </w:t>
      </w:r>
      <w:proofErr w:type="spellStart"/>
      <w:r w:rsidRPr="00081FE7">
        <w:rPr>
          <w:rFonts w:ascii="Cambria" w:hAnsi="Cambria"/>
          <w:sz w:val="22"/>
        </w:rPr>
        <w:t>UIFs</w:t>
      </w:r>
      <w:proofErr w:type="spellEnd"/>
      <w:r w:rsidRPr="00081FE7">
        <w:rPr>
          <w:rFonts w:ascii="Cambria" w:hAnsi="Cambria"/>
          <w:sz w:val="22"/>
        </w:rPr>
        <w:t xml:space="preserve"> del mundo, en relación con los fundamentos doctrinales y teóricos que animaron la creación de este tipo de entidades. </w:t>
      </w:r>
    </w:p>
    <w:p w:rsidR="00081FE7" w:rsidRPr="00081FE7" w:rsidRDefault="00081FE7" w:rsidP="00081FE7">
      <w:pPr>
        <w:ind w:right="55"/>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 xml:space="preserve">En efecto, la UIAF fue creada como una unidad encargada de realizar inteligencia financiera con el fin de detectar operaciones de lavado de activos y delitos fuente y luego recibió competencias adicionales en relación con financiación del terrorismo, contrabando y fraude aduanero. Puede decirse entonces que la competencia natural de la UIAF, si se analiza desde sus normas de creación y fundamentos teóricos, tuvo un fin enmarcado en normas de carácter penal, pues el resultado de su inteligencia ha tenido como destinatario a aquellas autoridades penales que investigan delitos de lavado de activos, delitos fuente de aquel, o, en el ámbito colombiano, la autoridad (fiscalía) que ejerce la acción de extinción de dominio. </w:t>
      </w:r>
    </w:p>
    <w:p w:rsidR="00081FE7" w:rsidRPr="00081FE7" w:rsidRDefault="00081FE7" w:rsidP="00081FE7">
      <w:pPr>
        <w:ind w:right="55"/>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 xml:space="preserve">No obstante, el artículo 34, como se señaló, también dispone la posibilidad de acceso de información por parte de otras autoridades, con las salvedades ya anotadas. </w:t>
      </w:r>
    </w:p>
    <w:p w:rsidR="00081FE7" w:rsidRPr="00081FE7" w:rsidRDefault="00081FE7" w:rsidP="00081FE7">
      <w:pPr>
        <w:ind w:right="55"/>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 xml:space="preserve">Analizada la norma señalada puede concluirse que, hoy en día, puede hablarse de un eventual acceso a la información de autoridades disciplinarias y fiscales a la UIAF, pero no como una competencia natural, ordinaria, permanente como la que se da entre UIAF y </w:t>
      </w:r>
      <w:r w:rsidRPr="00081FE7">
        <w:rPr>
          <w:rFonts w:ascii="Cambria" w:hAnsi="Cambria"/>
          <w:sz w:val="22"/>
        </w:rPr>
        <w:lastRenderedPageBreak/>
        <w:t>Fiscalías, sino bajo criterios restringidos de acceso. Para ello, deberá tenerse en cuenta las reglas de acceso que a continuación se señalan.</w:t>
      </w:r>
    </w:p>
    <w:p w:rsidR="00081FE7" w:rsidRPr="00081FE7" w:rsidRDefault="00081FE7" w:rsidP="00081FE7">
      <w:pPr>
        <w:ind w:right="55"/>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 xml:space="preserve">Como hemos destacado en el punto anterior al señalar los cambios normativos que ha sufrido la UIAF, y teniendo en  cuenta también decisión del Tribunal Administrativo en recurso de insistencia del 12 de Diciembre de 2012, se impone una interpretación evolutiva y progresiva de la norma jurídica, que permita esa lucha integral contra el lavado de activos y sus delitos fuente, no solo desde la sola relación UIAF – FISCALÍA, sino a través de colaboración con otras autoridades, en especial la Procuraduría, quien tiene la potestad de sancionar, en sede disciplinaria, conductas que se relacionan, vuelve y se repite, en sede disciplinaria, con el lavado de activos y sus delitos fuente, en especial en lo que atañe a faltas gravísimas que son también  delitos contra la administración pública.  </w:t>
      </w:r>
    </w:p>
    <w:p w:rsidR="00081FE7" w:rsidRPr="00081FE7" w:rsidRDefault="00081FE7" w:rsidP="00081FE7">
      <w:pPr>
        <w:ind w:right="55"/>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Cabe en efecto recordar que con ocasión de la Litis entrabada entre Contraloría General de la República y la Unidad de Información y Análisis Financiero sobre acceso a información reservada por parte de esta, el Tribunal manifestó que “la información que recauda la UIAF por regla general está sujeta a reserva y de manera excepcional puede ser conocida por las autoridades competentes y por las entidades legitimadas para ejercitar la acción de extinción de dominio, quienes deberán mantener la reserva de la información que les sea suministrada”, señaló más adelante que “Así las cosas, como la Contraloría General de la República es un organismo de control y en razón a su órbita funcional puede llegar a tener conocimiento de la existencia de actividades que puedan afectar el Tesoro Público, tiene competencia para conocer de la información que reposa en la UIAF y en consecuencia la reserva prevista en el artículo 9º (se refiere al artículo 9º, inciso 4º de la Ley 526 de 1999) ya citado, no le es oponible”.</w:t>
      </w:r>
    </w:p>
    <w:p w:rsidR="00081FE7" w:rsidRPr="00081FE7" w:rsidRDefault="00081FE7" w:rsidP="00081FE7">
      <w:pPr>
        <w:ind w:right="55"/>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 xml:space="preserve">En ese momento histórico la UIAF sostenía la tesis de que el parágrafo del artículo 34 de la Ley 1621 debía leerse con un criterio pétreo, en el sentido de que el destinatario natural y exclusivo de información debía ser la Fiscalía General de la Nación, toda vez que la vocación de la información de la UIAF era estrictamente penal, pues se ocupaba de la inteligencia financiera respecto de lavado de activos y sus delitos fuente, o de la acción de extinción de dominio, en este último caso, teniendo en cuenta que  EN ESE MOMENTO LEGAL, la legitimación por activa pertenecía  de manera exclusiva a dicho ente (Fiscalía General). </w:t>
      </w:r>
    </w:p>
    <w:p w:rsidR="00081FE7" w:rsidRPr="00081FE7" w:rsidRDefault="00081FE7" w:rsidP="00081FE7">
      <w:pPr>
        <w:ind w:right="55"/>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 xml:space="preserve">En relación con el fallo de insistencia la UIAF, en una interpretación estrictamente jurídica, interpuso acción de tutela ante el Honorable Consejo de Estado, la cual fue resuelta mediante sentencia del 22 de marzo de 2013 en el sentido de considerar el fallo de insistencia del Honorable Tribunal, se dictó conforme a derecho. </w:t>
      </w:r>
    </w:p>
    <w:p w:rsidR="00081FE7" w:rsidRPr="00081FE7" w:rsidRDefault="00081FE7" w:rsidP="00081FE7">
      <w:pPr>
        <w:ind w:right="55"/>
        <w:jc w:val="both"/>
        <w:rPr>
          <w:rFonts w:ascii="Cambria" w:hAnsi="Cambria"/>
          <w:sz w:val="22"/>
        </w:rPr>
      </w:pPr>
    </w:p>
    <w:p w:rsidR="00081FE7" w:rsidRPr="00081FE7" w:rsidRDefault="00081FE7" w:rsidP="00081FE7">
      <w:pPr>
        <w:spacing w:after="2" w:line="259" w:lineRule="auto"/>
        <w:ind w:right="55"/>
        <w:jc w:val="both"/>
        <w:rPr>
          <w:rFonts w:ascii="Cambria" w:hAnsi="Cambria"/>
          <w:sz w:val="22"/>
        </w:rPr>
      </w:pPr>
      <w:r w:rsidRPr="00081FE7">
        <w:rPr>
          <w:rFonts w:ascii="Cambria" w:hAnsi="Cambria"/>
          <w:sz w:val="22"/>
        </w:rPr>
        <w:t xml:space="preserve">Es importante destacar que la discusión se dio en el seno de la Ley 526 de 1999, pues la ley 1621 de 2016 no había sido promulgada, si bien ya se había realizado la revisión de la Corte </w:t>
      </w:r>
      <w:r w:rsidRPr="00081FE7">
        <w:rPr>
          <w:rFonts w:ascii="Cambria" w:hAnsi="Cambria"/>
          <w:sz w:val="22"/>
        </w:rPr>
        <w:lastRenderedPageBreak/>
        <w:t>Constitucional, según Sentencia C 540 de 2012, por tratarse de norma estatutaria.  Una vez expedida la ley estatutaria, y acorde con los antecedentes jurídicos señalados, se impone una interpretación acorde con dichos pronunciamientos judiciales, y con las normas que actualmente rigen la actividad de los organismos de inteligencia del Estado.</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 xml:space="preserve">Como señala Ricardo </w:t>
      </w:r>
      <w:proofErr w:type="spellStart"/>
      <w:r w:rsidRPr="00081FE7">
        <w:rPr>
          <w:rFonts w:ascii="Cambria" w:hAnsi="Cambria"/>
          <w:sz w:val="22"/>
        </w:rPr>
        <w:t>Guastini</w:t>
      </w:r>
      <w:proofErr w:type="spellEnd"/>
      <w:r w:rsidRPr="00081FE7">
        <w:rPr>
          <w:rFonts w:ascii="Cambria" w:hAnsi="Cambria"/>
          <w:sz w:val="22"/>
        </w:rPr>
        <w:t xml:space="preserve"> la interpretación evolutiva es aquella en virtud de la cual la interpretación de la ley debe cambiar cuando cambian las circunstancias en las que la ley debe ser aplicada. Es preciso en estos casos atender no tanto a la voluntad del legislador que dictó la norma sino a </w:t>
      </w:r>
      <w:r w:rsidR="007A689C" w:rsidRPr="00081FE7">
        <w:rPr>
          <w:rFonts w:ascii="Cambria" w:hAnsi="Cambria"/>
          <w:sz w:val="22"/>
        </w:rPr>
        <w:t>la “</w:t>
      </w:r>
      <w:r w:rsidRPr="00081FE7">
        <w:rPr>
          <w:rFonts w:ascii="Cambria" w:hAnsi="Cambria"/>
          <w:sz w:val="22"/>
        </w:rPr>
        <w:t xml:space="preserve">naturaleza de las cosas”. Es decir, al cambiar las circunstancias históricas (sociales, culturales, etcétera) en las que una ley debe ser aplicada, debe cambiar, evolucionar, igualmente el modo de interpretarla. Se atribuye así a un texto normativo un significado nuevo, distinto, del que históricamente había tenido. La interpretación evolutiva, afirma R. </w:t>
      </w:r>
      <w:proofErr w:type="spellStart"/>
      <w:r w:rsidRPr="00081FE7">
        <w:rPr>
          <w:rFonts w:ascii="Cambria" w:hAnsi="Cambria"/>
          <w:sz w:val="22"/>
        </w:rPr>
        <w:t>Guastini</w:t>
      </w:r>
      <w:proofErr w:type="spellEnd"/>
      <w:r w:rsidRPr="00081FE7">
        <w:rPr>
          <w:rFonts w:ascii="Cambria" w:hAnsi="Cambria"/>
          <w:sz w:val="22"/>
        </w:rPr>
        <w:t xml:space="preserve">, tiende a adaptar viejas o relativamente </w:t>
      </w:r>
      <w:r w:rsidR="007A689C" w:rsidRPr="00081FE7">
        <w:rPr>
          <w:rFonts w:ascii="Cambria" w:hAnsi="Cambria"/>
          <w:sz w:val="22"/>
        </w:rPr>
        <w:t>viejas leyes</w:t>
      </w:r>
      <w:r w:rsidRPr="00081FE7">
        <w:rPr>
          <w:rFonts w:ascii="Cambria" w:hAnsi="Cambria"/>
          <w:sz w:val="22"/>
        </w:rPr>
        <w:t xml:space="preserve">  situaciones  nuevas  no  previstas  por  el  legislador  histórico.  Especialmente, hace referencia R. </w:t>
      </w:r>
      <w:proofErr w:type="spellStart"/>
      <w:r w:rsidRPr="00081FE7">
        <w:rPr>
          <w:rFonts w:ascii="Cambria" w:hAnsi="Cambria"/>
          <w:sz w:val="22"/>
        </w:rPr>
        <w:t>Guastini</w:t>
      </w:r>
      <w:proofErr w:type="spellEnd"/>
      <w:r w:rsidRPr="00081FE7">
        <w:rPr>
          <w:rFonts w:ascii="Cambria" w:hAnsi="Cambria"/>
          <w:sz w:val="22"/>
        </w:rPr>
        <w:t xml:space="preserve"> a este tipo de técnica interpretativa cuando alude a la interpretación constitucional. </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 xml:space="preserve">Es importante señalar </w:t>
      </w:r>
      <w:r w:rsidR="007A689C" w:rsidRPr="00081FE7">
        <w:rPr>
          <w:rFonts w:ascii="Cambria" w:hAnsi="Cambria"/>
          <w:sz w:val="22"/>
        </w:rPr>
        <w:t>que,</w:t>
      </w:r>
      <w:r w:rsidRPr="00081FE7">
        <w:rPr>
          <w:rFonts w:ascii="Cambria" w:hAnsi="Cambria"/>
          <w:sz w:val="22"/>
        </w:rPr>
        <w:t xml:space="preserve"> en el presente caso, esa interpretación progresiva se impone en la medida en que se está ante normas de derecho fundamental establecidas en leyes estatutarias. </w:t>
      </w:r>
      <w:r w:rsidR="007A689C" w:rsidRPr="00081FE7">
        <w:rPr>
          <w:rFonts w:ascii="Cambria" w:hAnsi="Cambria"/>
          <w:sz w:val="22"/>
        </w:rPr>
        <w:t>Pero,</w:t>
      </w:r>
      <w:r w:rsidRPr="00081FE7">
        <w:rPr>
          <w:rFonts w:ascii="Cambria" w:hAnsi="Cambria"/>
          <w:sz w:val="22"/>
        </w:rPr>
        <w:t xml:space="preserve"> además, no se trata en el caso de la UIAF de interpretar progresivamente las normas, sino armonizar las leyes ordinarias de creación y funciones de la UIAF a otras disposiciones recientes, de carácter ordinario y sobre todo, de nivel estatutario, que entregan nuevas capacidades, funciones y atribuciones a la UIAF.</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En este punto, debe destacarse que a la luz de la ley 1621 de 2013, la actividad de inteligencia no ciñe solo a reglas jurídicas, sino que impone en todo momento la aplicación de principios, en el marco del Nuevo Constitucionalismo. Adicionalmente, con la expedición de la Ley 1712 de 2014, las reglas de reserva deben aplicar también principios y test constitucionales, como es el caso del test de daño.</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pStyle w:val="Prrafodelista"/>
        <w:numPr>
          <w:ilvl w:val="0"/>
          <w:numId w:val="38"/>
        </w:numPr>
        <w:spacing w:after="2"/>
        <w:jc w:val="both"/>
        <w:rPr>
          <w:rFonts w:ascii="Cambria" w:hAnsi="Cambria"/>
          <w:b/>
        </w:rPr>
      </w:pPr>
      <w:r w:rsidRPr="00081FE7">
        <w:rPr>
          <w:rFonts w:ascii="Cambria" w:hAnsi="Cambria"/>
          <w:b/>
        </w:rPr>
        <w:t>Reglas de acceso a la información por parte de receptores, destinatarios y otros órganos competentes</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Teniendo en cuenta lo expuesto y como se señaló atrás, en el caso específico del inciso primero del artículo 34 de la Ley 1621 de 2013, el acceso debe realizarse:</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pStyle w:val="Prrafodelista"/>
        <w:numPr>
          <w:ilvl w:val="0"/>
          <w:numId w:val="39"/>
        </w:numPr>
        <w:spacing w:after="3" w:line="248" w:lineRule="auto"/>
        <w:ind w:left="360" w:right="55"/>
        <w:jc w:val="both"/>
        <w:rPr>
          <w:rFonts w:ascii="Cambria" w:hAnsi="Cambria"/>
        </w:rPr>
      </w:pPr>
      <w:r w:rsidRPr="00081FE7">
        <w:rPr>
          <w:rFonts w:ascii="Cambria" w:hAnsi="Cambria"/>
          <w:b/>
        </w:rPr>
        <w:t>Por solicitud</w:t>
      </w:r>
      <w:r w:rsidRPr="00081FE7">
        <w:rPr>
          <w:rFonts w:ascii="Cambria" w:hAnsi="Cambria"/>
        </w:rPr>
        <w:t xml:space="preserve"> de estas autoridades. No se trata de un acceso general, regular y de las características de continuidad y envergadura de la información que se entrega a Fiscalía, sino de información puntual y referida a procesos.</w:t>
      </w:r>
    </w:p>
    <w:p w:rsidR="00081FE7" w:rsidRPr="00081FE7" w:rsidRDefault="00081FE7" w:rsidP="00081FE7">
      <w:pPr>
        <w:ind w:right="55"/>
        <w:jc w:val="both"/>
        <w:rPr>
          <w:rFonts w:ascii="Cambria" w:hAnsi="Cambria"/>
          <w:sz w:val="22"/>
        </w:rPr>
      </w:pPr>
    </w:p>
    <w:p w:rsidR="00081FE7" w:rsidRPr="00081FE7" w:rsidRDefault="00081FE7" w:rsidP="00081FE7">
      <w:pPr>
        <w:pStyle w:val="Prrafodelista"/>
        <w:numPr>
          <w:ilvl w:val="0"/>
          <w:numId w:val="39"/>
        </w:numPr>
        <w:spacing w:after="3" w:line="248" w:lineRule="auto"/>
        <w:ind w:left="360" w:right="55"/>
        <w:jc w:val="both"/>
        <w:rPr>
          <w:rFonts w:ascii="Cambria" w:hAnsi="Cambria"/>
        </w:rPr>
      </w:pPr>
      <w:r w:rsidRPr="00081FE7">
        <w:rPr>
          <w:rFonts w:ascii="Cambria" w:hAnsi="Cambria"/>
        </w:rPr>
        <w:t xml:space="preserve">Debe existir además una relación indisoluble entre lo que se solicita y el ejercicio de sus funciones. Pero adicionalmente, debe existir una relación entre esas funciones y las de la UIAF, de manera que la solicitud se restringa a hechos que puedan considerarse como conexos o vinculados a la actividad propia de la UIAF, cual es la de realizar inteligencia financiera para detectar operaciones de lavado de activos y sus delitos fuente, financiación del terrorismo, contrabando, fraude aduanero. Es decir, se </w:t>
      </w:r>
      <w:r w:rsidR="007A689C" w:rsidRPr="00081FE7">
        <w:rPr>
          <w:rFonts w:ascii="Cambria" w:hAnsi="Cambria"/>
        </w:rPr>
        <w:t>trataría,</w:t>
      </w:r>
      <w:r w:rsidRPr="00081FE7">
        <w:rPr>
          <w:rFonts w:ascii="Cambria" w:hAnsi="Cambria"/>
        </w:rPr>
        <w:t xml:space="preserve"> por ejemplo, de investigaciones disciplinarias encaminadas a proteger bienes jurídicos similares, en sede disciplinaria, a los bienes jurídicos de aquellos delitos. No se entregaría respecto de faltas o hechos que no tengan relación con estos. </w:t>
      </w:r>
    </w:p>
    <w:p w:rsidR="00081FE7" w:rsidRPr="00081FE7" w:rsidRDefault="00081FE7" w:rsidP="00081FE7">
      <w:pPr>
        <w:ind w:right="55"/>
        <w:jc w:val="both"/>
        <w:rPr>
          <w:rFonts w:ascii="Cambria" w:hAnsi="Cambria"/>
          <w:sz w:val="22"/>
        </w:rPr>
      </w:pPr>
    </w:p>
    <w:p w:rsidR="00081FE7" w:rsidRPr="00081FE7" w:rsidRDefault="00081FE7" w:rsidP="00081FE7">
      <w:pPr>
        <w:pStyle w:val="Prrafodelista"/>
        <w:numPr>
          <w:ilvl w:val="0"/>
          <w:numId w:val="39"/>
        </w:numPr>
        <w:spacing w:after="3" w:line="248" w:lineRule="auto"/>
        <w:ind w:left="360" w:right="55"/>
        <w:jc w:val="both"/>
        <w:rPr>
          <w:rFonts w:ascii="Cambria" w:hAnsi="Cambria"/>
        </w:rPr>
      </w:pPr>
      <w:r w:rsidRPr="00081FE7">
        <w:rPr>
          <w:rFonts w:ascii="Cambria" w:hAnsi="Cambria"/>
        </w:rPr>
        <w:t xml:space="preserve">La difusión que haga el órgano de inteligencia debe tener en cuenta que no se ponga en riesgo la seguridad o la defensa nacional, ni la integridad personal de los ciudadanos, los agentes, o las fuentes. </w:t>
      </w:r>
    </w:p>
    <w:p w:rsidR="00081FE7" w:rsidRPr="00081FE7" w:rsidRDefault="00081FE7" w:rsidP="00081FE7">
      <w:pPr>
        <w:ind w:right="55"/>
        <w:jc w:val="both"/>
        <w:rPr>
          <w:rFonts w:ascii="Cambria" w:hAnsi="Cambria"/>
          <w:sz w:val="22"/>
        </w:rPr>
      </w:pPr>
    </w:p>
    <w:p w:rsidR="00081FE7" w:rsidRPr="00081FE7" w:rsidRDefault="00081FE7" w:rsidP="00081FE7">
      <w:pPr>
        <w:pStyle w:val="Prrafodelista"/>
        <w:numPr>
          <w:ilvl w:val="0"/>
          <w:numId w:val="39"/>
        </w:numPr>
        <w:spacing w:after="3" w:line="248" w:lineRule="auto"/>
        <w:ind w:left="360" w:right="55"/>
        <w:jc w:val="both"/>
        <w:rPr>
          <w:rFonts w:ascii="Cambria" w:hAnsi="Cambria"/>
        </w:rPr>
      </w:pPr>
      <w:r w:rsidRPr="00081FE7">
        <w:rPr>
          <w:rFonts w:ascii="Cambria" w:hAnsi="Cambria"/>
        </w:rPr>
        <w:t>La norma señala que es deber de esas autoridades asegurar la reserva de los documentos que lleguen a conocer en desarrollo de lo establecido en el presente artículo.</w:t>
      </w:r>
    </w:p>
    <w:p w:rsidR="00081FE7" w:rsidRPr="00081FE7" w:rsidRDefault="00081FE7" w:rsidP="00081FE7">
      <w:pPr>
        <w:ind w:right="55"/>
        <w:jc w:val="both"/>
        <w:rPr>
          <w:rFonts w:ascii="Cambria" w:hAnsi="Cambria"/>
          <w:sz w:val="22"/>
        </w:rPr>
      </w:pPr>
    </w:p>
    <w:p w:rsidR="00081FE7" w:rsidRPr="00081FE7" w:rsidRDefault="00081FE7" w:rsidP="00081FE7">
      <w:pPr>
        <w:pStyle w:val="Prrafodelista"/>
        <w:numPr>
          <w:ilvl w:val="0"/>
          <w:numId w:val="39"/>
        </w:numPr>
        <w:spacing w:after="2"/>
        <w:ind w:left="360" w:right="55"/>
        <w:jc w:val="both"/>
        <w:rPr>
          <w:rFonts w:ascii="Cambria" w:hAnsi="Cambria"/>
        </w:rPr>
      </w:pPr>
      <w:r w:rsidRPr="00081FE7">
        <w:rPr>
          <w:rFonts w:ascii="Cambria" w:hAnsi="Cambria"/>
        </w:rPr>
        <w:t>La sentencia C 540 de 2012, de revisión de la ley 1621 de 2013 estableció adicionalmente que la reserva no opera</w:t>
      </w:r>
    </w:p>
    <w:p w:rsidR="00081FE7" w:rsidRPr="00081FE7" w:rsidRDefault="00081FE7" w:rsidP="00081FE7">
      <w:pPr>
        <w:pStyle w:val="Prrafodelista"/>
        <w:rPr>
          <w:rFonts w:ascii="Cambria" w:hAnsi="Cambria"/>
        </w:rPr>
      </w:pPr>
    </w:p>
    <w:p w:rsidR="00081FE7" w:rsidRPr="00081FE7" w:rsidRDefault="00081FE7" w:rsidP="00081FE7">
      <w:pPr>
        <w:ind w:left="426" w:right="-87"/>
        <w:jc w:val="both"/>
        <w:rPr>
          <w:rFonts w:ascii="Cambria" w:hAnsi="Cambria"/>
          <w:sz w:val="22"/>
        </w:rPr>
      </w:pPr>
      <w:r w:rsidRPr="00081FE7">
        <w:rPr>
          <w:rFonts w:ascii="Cambria" w:hAnsi="Cambria"/>
          <w:sz w:val="22"/>
        </w:rPr>
        <w:t xml:space="preserve">“tratándose de violaciones a los derechos humanos el Estado no se puede abrigar en instrumentos como el secreto de Estado o la confidencialidad de la información, o en razones de interés público o seguridad nacional, para no aportar la información requerida por las autoridades judiciales o administrativas. Así lo sostuvo la Corte Interamericana de Derechos Humanos en el </w:t>
      </w:r>
      <w:r w:rsidR="007A689C" w:rsidRPr="00081FE7">
        <w:rPr>
          <w:rFonts w:ascii="Cambria" w:hAnsi="Cambria"/>
          <w:sz w:val="22"/>
        </w:rPr>
        <w:t>caso Myrna</w:t>
      </w:r>
      <w:r w:rsidRPr="00081FE7">
        <w:rPr>
          <w:rFonts w:ascii="Cambria" w:hAnsi="Cambria"/>
          <w:sz w:val="22"/>
        </w:rPr>
        <w:t xml:space="preserve"> Mack Chang Vs. Guatemala [484]:</w:t>
      </w:r>
    </w:p>
    <w:p w:rsidR="00081FE7" w:rsidRPr="00081FE7" w:rsidRDefault="00081FE7" w:rsidP="00081FE7">
      <w:pPr>
        <w:ind w:left="426" w:right="-87"/>
        <w:jc w:val="both"/>
        <w:rPr>
          <w:rFonts w:ascii="Cambria" w:hAnsi="Cambria"/>
          <w:sz w:val="22"/>
        </w:rPr>
      </w:pPr>
    </w:p>
    <w:p w:rsidR="00081FE7" w:rsidRPr="00081FE7" w:rsidRDefault="00081FE7" w:rsidP="00081FE7">
      <w:pPr>
        <w:ind w:left="426" w:right="-87"/>
        <w:jc w:val="both"/>
        <w:rPr>
          <w:rFonts w:ascii="Cambria" w:hAnsi="Cambria"/>
          <w:sz w:val="22"/>
        </w:rPr>
      </w:pPr>
      <w:r w:rsidRPr="00081FE7">
        <w:rPr>
          <w:rFonts w:ascii="Cambria" w:hAnsi="Cambria"/>
          <w:sz w:val="22"/>
        </w:rPr>
        <w:t>"En caso de violaciones de derechos humanos, las autoridades estatales no se pueden amparar en mecanismos como el secreto de Estado o la confidencialidad de la información, o en razones de interés público o seguridad nacional, para dejar de aportar la información requerida por las autoridades judiciales o administrativas encargadas de la investigación o proceso pendientes".</w:t>
      </w:r>
    </w:p>
    <w:p w:rsidR="00081FE7" w:rsidRPr="00081FE7" w:rsidRDefault="00081FE7" w:rsidP="00081FE7">
      <w:pPr>
        <w:ind w:left="426" w:right="-87"/>
        <w:jc w:val="both"/>
        <w:rPr>
          <w:rFonts w:ascii="Cambria" w:hAnsi="Cambria"/>
          <w:sz w:val="22"/>
        </w:rPr>
      </w:pPr>
    </w:p>
    <w:p w:rsidR="00081FE7" w:rsidRPr="00081FE7" w:rsidRDefault="00081FE7" w:rsidP="00081FE7">
      <w:pPr>
        <w:ind w:left="426" w:right="-87"/>
        <w:jc w:val="both"/>
        <w:rPr>
          <w:rFonts w:ascii="Cambria" w:hAnsi="Cambria"/>
          <w:sz w:val="22"/>
        </w:rPr>
      </w:pPr>
      <w:r w:rsidRPr="00081FE7">
        <w:rPr>
          <w:rFonts w:ascii="Cambria" w:hAnsi="Cambria"/>
          <w:sz w:val="22"/>
        </w:rPr>
        <w:t>En este caso, cuando la Procuraduría General de la Nación adelanta investigaciones disciplinarias de ese orden, se entregará información con criterios más laxos y que permitan la eficacia de esas investigaciones”.</w:t>
      </w:r>
    </w:p>
    <w:p w:rsidR="00081FE7" w:rsidRPr="00081FE7" w:rsidRDefault="00081FE7" w:rsidP="00081FE7">
      <w:pPr>
        <w:ind w:left="426" w:right="-87"/>
        <w:jc w:val="both"/>
        <w:rPr>
          <w:rFonts w:ascii="Cambria" w:hAnsi="Cambria"/>
          <w:sz w:val="22"/>
        </w:rPr>
      </w:pPr>
    </w:p>
    <w:p w:rsidR="00081FE7" w:rsidRPr="00081FE7" w:rsidRDefault="00081FE7" w:rsidP="00081FE7">
      <w:pPr>
        <w:ind w:left="426" w:right="-87"/>
        <w:jc w:val="both"/>
        <w:rPr>
          <w:rFonts w:ascii="Cambria" w:hAnsi="Cambria"/>
          <w:sz w:val="22"/>
        </w:rPr>
      </w:pPr>
    </w:p>
    <w:p w:rsidR="00081FE7" w:rsidRPr="00081FE7" w:rsidRDefault="00081FE7" w:rsidP="00081FE7">
      <w:pPr>
        <w:pStyle w:val="Prrafodelista"/>
        <w:numPr>
          <w:ilvl w:val="0"/>
          <w:numId w:val="39"/>
        </w:numPr>
        <w:spacing w:after="2"/>
        <w:ind w:left="360" w:right="55"/>
        <w:jc w:val="both"/>
        <w:rPr>
          <w:rFonts w:ascii="Cambria" w:hAnsi="Cambria"/>
        </w:rPr>
      </w:pPr>
      <w:r w:rsidRPr="00081FE7">
        <w:rPr>
          <w:rFonts w:ascii="Cambria" w:hAnsi="Cambria"/>
        </w:rPr>
        <w:lastRenderedPageBreak/>
        <w:t xml:space="preserve">Es importante señalar que el parágrafo 1º del artículo citado establece que los Jefes y Directores de los organismos de inteligencia y contrainteligencia establecerán los procedimientos y controles para la difusión y trazabilidad de la información de inteligencia y contrainteligencia. La difusión deberá hacerse en el marco de los fines, límites y principios establecidos en el marco de la presente ley. </w:t>
      </w:r>
    </w:p>
    <w:p w:rsidR="00081FE7" w:rsidRPr="00081FE7" w:rsidRDefault="00081FE7" w:rsidP="00081FE7">
      <w:pPr>
        <w:ind w:right="-87"/>
        <w:jc w:val="both"/>
        <w:rPr>
          <w:rFonts w:ascii="Cambria" w:hAnsi="Cambria"/>
          <w:sz w:val="22"/>
        </w:rPr>
      </w:pPr>
    </w:p>
    <w:p w:rsidR="00081FE7" w:rsidRPr="00081FE7" w:rsidRDefault="00081FE7" w:rsidP="00081FE7">
      <w:pPr>
        <w:ind w:left="426" w:right="-87"/>
        <w:jc w:val="both"/>
        <w:rPr>
          <w:rFonts w:ascii="Cambria" w:hAnsi="Cambria"/>
          <w:sz w:val="22"/>
        </w:rPr>
      </w:pPr>
      <w:r w:rsidRPr="00081FE7">
        <w:rPr>
          <w:rFonts w:ascii="Cambria" w:hAnsi="Cambria"/>
          <w:sz w:val="22"/>
        </w:rPr>
        <w:t xml:space="preserve">Esta cláusula armoniza con otras relacionadas con la reserva de información y la oposición de reserva, como es la establecida en el parágrafo 2º del artículo 33: </w:t>
      </w:r>
    </w:p>
    <w:p w:rsidR="00081FE7" w:rsidRPr="00081FE7" w:rsidRDefault="00081FE7" w:rsidP="00081FE7">
      <w:pPr>
        <w:ind w:right="-87"/>
        <w:jc w:val="both"/>
        <w:rPr>
          <w:rFonts w:ascii="Cambria" w:hAnsi="Cambria"/>
          <w:sz w:val="22"/>
        </w:rPr>
      </w:pPr>
    </w:p>
    <w:p w:rsidR="00081FE7" w:rsidRPr="00081FE7" w:rsidRDefault="00081FE7" w:rsidP="00081FE7">
      <w:pPr>
        <w:ind w:left="426" w:right="-87"/>
        <w:jc w:val="both"/>
        <w:rPr>
          <w:rFonts w:ascii="Cambria" w:hAnsi="Cambria"/>
          <w:sz w:val="22"/>
        </w:rPr>
      </w:pPr>
      <w:r w:rsidRPr="00081FE7">
        <w:rPr>
          <w:rFonts w:ascii="Cambria" w:hAnsi="Cambria"/>
          <w:sz w:val="22"/>
        </w:rPr>
        <w:t>“PARÁGRAFO 2o. El organismo de inteligencia que decida ampararse en la reserva para no suministrar una información que tenga este carácter, debe hacerlo por escrito, y por intermedio de su director, quien motivará por escrito la razonabilidad y proporcionalidad de su decisión y la fundará en esta disposición legal. En cualquier caso, frente a tales decisiones procederán los recursos y acciones legales y constitucionales del caso”.</w:t>
      </w:r>
    </w:p>
    <w:p w:rsidR="00081FE7" w:rsidRPr="00081FE7" w:rsidRDefault="00081FE7" w:rsidP="00081FE7">
      <w:pPr>
        <w:ind w:right="-87"/>
        <w:jc w:val="both"/>
        <w:rPr>
          <w:rFonts w:ascii="Cambria" w:hAnsi="Cambria"/>
          <w:sz w:val="22"/>
        </w:rPr>
      </w:pPr>
    </w:p>
    <w:p w:rsidR="00081FE7" w:rsidRPr="00081FE7" w:rsidRDefault="00081FE7" w:rsidP="00081FE7">
      <w:pPr>
        <w:ind w:left="426" w:right="-87"/>
        <w:jc w:val="both"/>
        <w:rPr>
          <w:rFonts w:ascii="Cambria" w:hAnsi="Cambria"/>
          <w:sz w:val="22"/>
        </w:rPr>
      </w:pPr>
      <w:r w:rsidRPr="00081FE7">
        <w:rPr>
          <w:rFonts w:ascii="Cambria" w:hAnsi="Cambria"/>
          <w:sz w:val="22"/>
        </w:rPr>
        <w:t xml:space="preserve">Esto implica que en todo momento la difusión de la información debe ser valorada a la luz de los principios, fines y límites establecidos en la ley 1621 de 2013, y que, aun existiendo norma que dispone la posibilidad de entregar, esta puede negarse cuando mediante un juicio de razonabilidad, proporcionalidad a la luz de los fines y límites establecidos en la ley, el </w:t>
      </w:r>
      <w:r w:rsidR="007A689C" w:rsidRPr="00081FE7">
        <w:rPr>
          <w:rFonts w:ascii="Cambria" w:hAnsi="Cambria"/>
          <w:sz w:val="22"/>
        </w:rPr>
        <w:t>director</w:t>
      </w:r>
      <w:r w:rsidRPr="00081FE7">
        <w:rPr>
          <w:rFonts w:ascii="Cambria" w:hAnsi="Cambria"/>
          <w:sz w:val="22"/>
        </w:rPr>
        <w:t xml:space="preserve"> considere que no es viable dicha entrega.</w:t>
      </w:r>
    </w:p>
    <w:p w:rsidR="00081FE7" w:rsidRPr="00081FE7" w:rsidRDefault="00081FE7" w:rsidP="00081FE7">
      <w:pPr>
        <w:ind w:right="-87"/>
        <w:jc w:val="both"/>
        <w:rPr>
          <w:rFonts w:ascii="Cambria" w:hAnsi="Cambria"/>
          <w:sz w:val="22"/>
        </w:rPr>
      </w:pPr>
    </w:p>
    <w:p w:rsidR="00081FE7" w:rsidRPr="00081FE7" w:rsidRDefault="00081FE7" w:rsidP="00081FE7">
      <w:pPr>
        <w:pStyle w:val="Prrafodelista"/>
        <w:numPr>
          <w:ilvl w:val="0"/>
          <w:numId w:val="39"/>
        </w:numPr>
        <w:spacing w:after="2"/>
        <w:ind w:left="360" w:right="55"/>
        <w:jc w:val="both"/>
        <w:rPr>
          <w:rFonts w:ascii="Cambria" w:hAnsi="Cambria"/>
        </w:rPr>
      </w:pPr>
      <w:r w:rsidRPr="00081FE7">
        <w:rPr>
          <w:rFonts w:ascii="Cambria" w:hAnsi="Cambria"/>
        </w:rPr>
        <w:t xml:space="preserve">Adicionalmente a estas normas, es importante tener en cuenta que la Ley Estatutaria 1712 de 2015, y en especial la sentencia de revisión 274 de 2013 establecen además criterios para oponer reserva, entre los cuales resulta fundamental el denominado test de daño, según el cual, la oposición de reserva que se haga debe hacerse con fundamento en los artículos 18 y 19 de esa ley, cuando exista riesgo de que se pueda causar daño a alguno de esos derechos o intereses públicos. En este caso, la Corte señaló que los motivos que debe consignar el sujeto obligado, deben expresar necesariamente por qué la posibilidad de dañar esos derechos es real, probable y específica, que no es un riesgo remoto ni eventual. </w:t>
      </w:r>
    </w:p>
    <w:p w:rsidR="00081FE7" w:rsidRPr="00081FE7" w:rsidRDefault="00081FE7" w:rsidP="00081FE7">
      <w:pPr>
        <w:ind w:right="-87"/>
        <w:jc w:val="both"/>
        <w:rPr>
          <w:rFonts w:ascii="Cambria" w:hAnsi="Cambria"/>
          <w:sz w:val="22"/>
        </w:rPr>
      </w:pPr>
    </w:p>
    <w:p w:rsidR="00081FE7" w:rsidRPr="00081FE7" w:rsidRDefault="00081FE7" w:rsidP="00081FE7">
      <w:pPr>
        <w:pStyle w:val="Prrafodelista"/>
        <w:spacing w:after="2"/>
        <w:ind w:left="360" w:right="-87"/>
        <w:rPr>
          <w:rFonts w:ascii="Cambria" w:hAnsi="Cambria"/>
        </w:rPr>
      </w:pPr>
      <w:r w:rsidRPr="00081FE7">
        <w:rPr>
          <w:rFonts w:ascii="Cambria" w:hAnsi="Cambria"/>
        </w:rPr>
        <w:t>Adicionalmente, para asegurar que sea proporcional, a la luz de la doctrina constitucional en la materia, el sujeto obligado debe señalar que el daño o perjuicio que pueda producirse a esos derechos sea sustancial, pues no sería constitucional que un daño ínfimo conduzca a una restricción tan seria del derecho de acceso a la información. La determinación de qué tan sustancial es un daño se determina al sopesar si el daño causado al interés protegido es desproporcionado ante el beneficio que se obtendría por garantizar el derecho a acceder a documentos públicos.</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pStyle w:val="Prrafodelista"/>
        <w:numPr>
          <w:ilvl w:val="0"/>
          <w:numId w:val="38"/>
        </w:numPr>
        <w:spacing w:after="2"/>
        <w:jc w:val="both"/>
        <w:rPr>
          <w:rFonts w:ascii="Cambria" w:hAnsi="Cambria"/>
          <w:b/>
        </w:rPr>
      </w:pPr>
      <w:r w:rsidRPr="00081FE7">
        <w:rPr>
          <w:rFonts w:ascii="Cambria" w:hAnsi="Cambria"/>
          <w:b/>
        </w:rPr>
        <w:t>Reglas de priorización</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pStyle w:val="Prrafodelista"/>
        <w:spacing w:after="2"/>
        <w:ind w:left="360"/>
        <w:rPr>
          <w:rFonts w:ascii="Cambria" w:hAnsi="Cambria"/>
        </w:rPr>
      </w:pPr>
      <w:r w:rsidRPr="00081FE7">
        <w:rPr>
          <w:rFonts w:ascii="Cambria" w:hAnsi="Cambria"/>
        </w:rPr>
        <w:t>Adicionalmente, distintas normas de la misma ley establecen criterios de priorización, como por ejemplo los artículos 7, 8 y 9 (requerimientos de inteligencia, Plan de Inteligencia, requerimientos adicionales), artículo 13 (funciones de la Junta de Inteligencia Conjunta). La priorización deberá tenerse en cuenta en atención a las capacidades de la UIAF, a lo determinado en el Plan Nacional de Inteligencia y adicionalmente a las políticas en materia criminal, con el fin de que la difusión de información corresponda a criterios de eficiencia, eficacia, efectividad y una adecuada planeación que se focalice en detectar y reprimir fenómenos de corrupción con especial relevancia e impacto.</w:t>
      </w:r>
    </w:p>
    <w:p w:rsidR="00081FE7" w:rsidRPr="00081FE7" w:rsidRDefault="00081FE7" w:rsidP="00081FE7">
      <w:pPr>
        <w:spacing w:after="2" w:line="259" w:lineRule="auto"/>
        <w:rPr>
          <w:rFonts w:ascii="Cambria" w:hAnsi="Cambria"/>
          <w:sz w:val="22"/>
        </w:rPr>
      </w:pPr>
    </w:p>
    <w:p w:rsidR="00081FE7" w:rsidRPr="00081FE7" w:rsidRDefault="00081FE7" w:rsidP="00081FE7">
      <w:pPr>
        <w:pStyle w:val="Prrafodelista"/>
        <w:numPr>
          <w:ilvl w:val="0"/>
          <w:numId w:val="38"/>
        </w:numPr>
        <w:spacing w:after="2"/>
        <w:jc w:val="both"/>
        <w:rPr>
          <w:rFonts w:ascii="Cambria" w:hAnsi="Cambria"/>
          <w:b/>
        </w:rPr>
      </w:pPr>
      <w:r w:rsidRPr="00081FE7">
        <w:rPr>
          <w:rFonts w:ascii="Cambria" w:hAnsi="Cambria"/>
          <w:b/>
        </w:rPr>
        <w:t>Tarifa legal negativa</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ind w:left="426" w:right="55"/>
        <w:jc w:val="both"/>
        <w:rPr>
          <w:rFonts w:ascii="Cambria" w:hAnsi="Cambria"/>
          <w:sz w:val="22"/>
        </w:rPr>
      </w:pPr>
      <w:r w:rsidRPr="00081FE7">
        <w:rPr>
          <w:rFonts w:ascii="Cambria" w:hAnsi="Cambria"/>
          <w:sz w:val="22"/>
        </w:rPr>
        <w:t xml:space="preserve">De conformidad con lo dispuesto en el artículo 35 de la ley 1621 de 2013, VALOR PROBATORIO DE LOS INFORMES DE INTELIGENCIA. En ningún caso los informes de inteligencia y contrainteligencia tendrán valor probatorio dentro de procesos judiciales </w:t>
      </w:r>
      <w:r w:rsidRPr="00081FE7">
        <w:rPr>
          <w:rFonts w:ascii="Cambria" w:hAnsi="Cambria"/>
          <w:b/>
          <w:sz w:val="22"/>
        </w:rPr>
        <w:t>y disciplinarios</w:t>
      </w:r>
      <w:r w:rsidRPr="00081FE7">
        <w:rPr>
          <w:rFonts w:ascii="Cambria" w:hAnsi="Cambria"/>
          <w:sz w:val="22"/>
        </w:rPr>
        <w:t>, pero su contenido podrá constituir criterio orientador durante la indagación. En todo caso se garantizará la reserva de la información, medios, métodos y fuentes, así como la protección de la identidad de los funcionarios de inteligencia y contrainteligencia.</w:t>
      </w:r>
    </w:p>
    <w:p w:rsidR="00081FE7" w:rsidRPr="00081FE7" w:rsidRDefault="00081FE7" w:rsidP="00081FE7">
      <w:pPr>
        <w:ind w:left="426" w:right="55"/>
        <w:jc w:val="both"/>
        <w:rPr>
          <w:rFonts w:ascii="Cambria" w:hAnsi="Cambria"/>
          <w:sz w:val="22"/>
        </w:rPr>
      </w:pPr>
    </w:p>
    <w:p w:rsidR="00081FE7" w:rsidRPr="00081FE7" w:rsidRDefault="00081FE7" w:rsidP="00081FE7">
      <w:pPr>
        <w:spacing w:after="2" w:line="259" w:lineRule="auto"/>
        <w:ind w:left="426"/>
        <w:jc w:val="both"/>
        <w:rPr>
          <w:rFonts w:ascii="Cambria" w:hAnsi="Cambria"/>
          <w:sz w:val="22"/>
        </w:rPr>
      </w:pPr>
      <w:r w:rsidRPr="00081FE7">
        <w:rPr>
          <w:rFonts w:ascii="Cambria" w:hAnsi="Cambria"/>
          <w:sz w:val="22"/>
        </w:rPr>
        <w:t>Así se le hará saber a la autoridad disciplinaria al momento de entregar información.</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pStyle w:val="Ttulo1"/>
        <w:numPr>
          <w:ilvl w:val="1"/>
          <w:numId w:val="21"/>
        </w:numPr>
        <w:ind w:left="426" w:hanging="426"/>
        <w:jc w:val="both"/>
        <w:rPr>
          <w:color w:val="auto"/>
          <w:sz w:val="22"/>
        </w:rPr>
      </w:pPr>
      <w:r w:rsidRPr="00081FE7">
        <w:rPr>
          <w:color w:val="auto"/>
          <w:sz w:val="22"/>
        </w:rPr>
        <w:t>ÁREAS RESPONSABLES</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Todas las áreas de la UIAF tienen participación en la ejecución de las actividades que se definan en las estrategias de cada uno de los componentes del Plan Anticorrupción y Atención al Ciudadano, bajo el liderazgo y monitoreo de los responsables de planes, programas, proyectos y procesos.</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pStyle w:val="Ttulo1"/>
        <w:numPr>
          <w:ilvl w:val="1"/>
          <w:numId w:val="21"/>
        </w:numPr>
        <w:ind w:left="426" w:hanging="426"/>
        <w:jc w:val="both"/>
        <w:rPr>
          <w:color w:val="auto"/>
          <w:sz w:val="22"/>
        </w:rPr>
      </w:pPr>
      <w:r w:rsidRPr="00081FE7">
        <w:rPr>
          <w:color w:val="auto"/>
          <w:sz w:val="22"/>
        </w:rPr>
        <w:t>RECURSOS</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 xml:space="preserve">La ejecución de las actividades que se definan en las estrategias del Plan Anticorrupción y Atención al Ciudadano no prevé la asignación de recursos financieros específicos, por cuanto estas actividades serán cubiertas con los recursos de funcionamiento e inversión de </w:t>
      </w:r>
      <w:r w:rsidRPr="00081FE7">
        <w:rPr>
          <w:rFonts w:ascii="Cambria" w:hAnsi="Cambria"/>
          <w:sz w:val="22"/>
        </w:rPr>
        <w:lastRenderedPageBreak/>
        <w:t>acuerdo con la programación establecida en el Plan Anual de Adquisiciones de la presente vigencia.</w:t>
      </w:r>
    </w:p>
    <w:p w:rsidR="00081FE7" w:rsidRPr="00081FE7" w:rsidRDefault="00081FE7" w:rsidP="00081FE7">
      <w:pPr>
        <w:spacing w:after="2"/>
        <w:jc w:val="both"/>
        <w:rPr>
          <w:rFonts w:ascii="Cambria" w:hAnsi="Cambria"/>
          <w:sz w:val="22"/>
        </w:rPr>
      </w:pPr>
    </w:p>
    <w:p w:rsidR="00081FE7" w:rsidRPr="00081FE7" w:rsidRDefault="00081FE7" w:rsidP="00081FE7">
      <w:pPr>
        <w:pStyle w:val="Ttulo1"/>
        <w:numPr>
          <w:ilvl w:val="1"/>
          <w:numId w:val="21"/>
        </w:numPr>
        <w:spacing w:line="240" w:lineRule="auto"/>
        <w:ind w:left="426" w:hanging="426"/>
        <w:jc w:val="both"/>
        <w:rPr>
          <w:color w:val="auto"/>
          <w:sz w:val="22"/>
        </w:rPr>
      </w:pPr>
      <w:r w:rsidRPr="00081FE7">
        <w:rPr>
          <w:color w:val="auto"/>
          <w:sz w:val="22"/>
        </w:rPr>
        <w:t>METAS</w:t>
      </w:r>
    </w:p>
    <w:p w:rsidR="00081FE7" w:rsidRPr="00081FE7" w:rsidRDefault="00081FE7" w:rsidP="00081FE7">
      <w:pPr>
        <w:spacing w:after="2"/>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Los productos o metas definidas para cada uno de los componentes del Plan Anticorrupción y de Atención al Ciudadano, fueron determinados acorde con los objetivos y estrategias del Plan Estratégico Sectorial e Institucional.</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pStyle w:val="Ttulo1"/>
        <w:numPr>
          <w:ilvl w:val="0"/>
          <w:numId w:val="20"/>
        </w:numPr>
        <w:ind w:left="426" w:hanging="426"/>
        <w:jc w:val="both"/>
        <w:rPr>
          <w:color w:val="auto"/>
          <w:sz w:val="22"/>
        </w:rPr>
      </w:pPr>
      <w:r w:rsidRPr="00081FE7">
        <w:rPr>
          <w:color w:val="auto"/>
          <w:sz w:val="22"/>
        </w:rPr>
        <w:t>OBJETIVOS</w:t>
      </w:r>
    </w:p>
    <w:p w:rsidR="00081FE7" w:rsidRPr="00081FE7" w:rsidRDefault="00081FE7" w:rsidP="00081FE7">
      <w:pPr>
        <w:jc w:val="both"/>
        <w:rPr>
          <w:rFonts w:ascii="Cambria" w:hAnsi="Cambria"/>
          <w:sz w:val="22"/>
        </w:rPr>
      </w:pPr>
    </w:p>
    <w:p w:rsidR="00081FE7" w:rsidRPr="00081FE7" w:rsidRDefault="00081FE7" w:rsidP="00081FE7">
      <w:pPr>
        <w:pStyle w:val="Prrafodelista"/>
        <w:keepNext/>
        <w:keepLines/>
        <w:numPr>
          <w:ilvl w:val="0"/>
          <w:numId w:val="21"/>
        </w:numPr>
        <w:tabs>
          <w:tab w:val="center" w:pos="1078"/>
        </w:tabs>
        <w:spacing w:after="31"/>
        <w:contextualSpacing w:val="0"/>
        <w:jc w:val="both"/>
        <w:outlineLvl w:val="0"/>
        <w:rPr>
          <w:rFonts w:ascii="Cambria" w:hAnsi="Cambria"/>
          <w:b/>
          <w:vanish/>
        </w:rPr>
      </w:pPr>
    </w:p>
    <w:p w:rsidR="00081FE7" w:rsidRPr="00081FE7" w:rsidRDefault="00081FE7" w:rsidP="00081FE7">
      <w:pPr>
        <w:pStyle w:val="Ttulo1"/>
        <w:numPr>
          <w:ilvl w:val="1"/>
          <w:numId w:val="21"/>
        </w:numPr>
        <w:ind w:left="426" w:hanging="426"/>
        <w:jc w:val="both"/>
        <w:rPr>
          <w:color w:val="auto"/>
          <w:sz w:val="22"/>
        </w:rPr>
      </w:pPr>
      <w:r w:rsidRPr="00081FE7">
        <w:rPr>
          <w:color w:val="auto"/>
          <w:sz w:val="22"/>
        </w:rPr>
        <w:t>OBJETIVO GENERAL</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spacing w:after="2" w:line="259" w:lineRule="auto"/>
        <w:jc w:val="both"/>
        <w:rPr>
          <w:rFonts w:ascii="Cambria" w:hAnsi="Cambria"/>
          <w:sz w:val="22"/>
        </w:rPr>
      </w:pPr>
      <w:r w:rsidRPr="00081FE7">
        <w:rPr>
          <w:rFonts w:ascii="Cambria" w:hAnsi="Cambria"/>
          <w:sz w:val="22"/>
        </w:rPr>
        <w:t>Formular las acciones para los diferentes componentes y subcomponentes que conforman el Plan Anticorrupción y de Atención al Ciudadano, que permitan prevenir posibles hechos de corrupción en el desarrollo de las funciones realizadas por los servidores públicos de la UIAF, fortalecer la participación y atención al ciudadano y permitir el acceso a la información de interés de los usuarios y ciudadanos.</w:t>
      </w:r>
    </w:p>
    <w:p w:rsidR="00081FE7" w:rsidRDefault="00081FE7" w:rsidP="00081FE7">
      <w:pPr>
        <w:spacing w:after="2" w:line="259" w:lineRule="auto"/>
        <w:jc w:val="both"/>
        <w:rPr>
          <w:rFonts w:ascii="Cambria" w:hAnsi="Cambria"/>
          <w:sz w:val="22"/>
        </w:rPr>
      </w:pPr>
    </w:p>
    <w:p w:rsidR="00C6312C" w:rsidRPr="00081FE7" w:rsidRDefault="00C6312C" w:rsidP="00081FE7">
      <w:pPr>
        <w:spacing w:after="2" w:line="259" w:lineRule="auto"/>
        <w:jc w:val="both"/>
        <w:rPr>
          <w:rFonts w:ascii="Cambria" w:hAnsi="Cambria"/>
          <w:sz w:val="22"/>
        </w:rPr>
      </w:pPr>
    </w:p>
    <w:p w:rsidR="00081FE7" w:rsidRPr="00081FE7" w:rsidRDefault="00081FE7" w:rsidP="00081FE7">
      <w:pPr>
        <w:pStyle w:val="Ttulo1"/>
        <w:numPr>
          <w:ilvl w:val="1"/>
          <w:numId w:val="21"/>
        </w:numPr>
        <w:ind w:left="426" w:hanging="426"/>
        <w:jc w:val="both"/>
        <w:rPr>
          <w:color w:val="auto"/>
          <w:sz w:val="22"/>
        </w:rPr>
      </w:pPr>
      <w:r w:rsidRPr="00081FE7">
        <w:rPr>
          <w:color w:val="auto"/>
          <w:sz w:val="22"/>
        </w:rPr>
        <w:t>OBJETIVOS ESPECÍFICOS</w:t>
      </w:r>
    </w:p>
    <w:p w:rsidR="00081FE7" w:rsidRPr="00081FE7" w:rsidRDefault="00081FE7" w:rsidP="00081FE7">
      <w:pPr>
        <w:spacing w:after="2" w:line="259" w:lineRule="auto"/>
        <w:jc w:val="both"/>
        <w:rPr>
          <w:rFonts w:ascii="Cambria" w:hAnsi="Cambria"/>
          <w:sz w:val="22"/>
        </w:rPr>
      </w:pPr>
    </w:p>
    <w:p w:rsidR="00081FE7" w:rsidRPr="00081FE7" w:rsidRDefault="00081FE7" w:rsidP="00081FE7">
      <w:pPr>
        <w:pStyle w:val="Prrafodelista"/>
        <w:numPr>
          <w:ilvl w:val="0"/>
          <w:numId w:val="25"/>
        </w:numPr>
        <w:spacing w:after="2"/>
        <w:jc w:val="both"/>
        <w:rPr>
          <w:rFonts w:ascii="Cambria" w:hAnsi="Cambria"/>
        </w:rPr>
      </w:pPr>
      <w:r w:rsidRPr="00081FE7">
        <w:rPr>
          <w:rFonts w:ascii="Cambria" w:hAnsi="Cambria"/>
        </w:rPr>
        <w:t>Formular las acciones de identificación, análisis, valoración y tratamiento de los riesgos de corrupción.</w:t>
      </w:r>
    </w:p>
    <w:p w:rsidR="00081FE7" w:rsidRPr="00081FE7" w:rsidRDefault="00081FE7" w:rsidP="00081FE7">
      <w:pPr>
        <w:pStyle w:val="Prrafodelista"/>
        <w:numPr>
          <w:ilvl w:val="0"/>
          <w:numId w:val="25"/>
        </w:numPr>
        <w:spacing w:after="2"/>
        <w:jc w:val="both"/>
        <w:rPr>
          <w:rFonts w:ascii="Cambria" w:hAnsi="Cambria"/>
        </w:rPr>
      </w:pPr>
      <w:r w:rsidRPr="00081FE7">
        <w:rPr>
          <w:rFonts w:ascii="Cambria" w:hAnsi="Cambria"/>
        </w:rPr>
        <w:t>Definir las actividades que permitan elaborar, actualizar, socializar, monitorear y evaluar el mapa de riesgos de corrupción.</w:t>
      </w:r>
    </w:p>
    <w:p w:rsidR="00081FE7" w:rsidRPr="00081FE7" w:rsidRDefault="00081FE7" w:rsidP="00081FE7">
      <w:pPr>
        <w:pStyle w:val="Prrafodelista"/>
        <w:numPr>
          <w:ilvl w:val="0"/>
          <w:numId w:val="25"/>
        </w:numPr>
        <w:spacing w:after="2"/>
        <w:jc w:val="both"/>
        <w:rPr>
          <w:rFonts w:ascii="Cambria" w:hAnsi="Cambria"/>
        </w:rPr>
      </w:pPr>
      <w:r w:rsidRPr="00081FE7">
        <w:rPr>
          <w:rFonts w:ascii="Cambria" w:hAnsi="Cambria"/>
        </w:rPr>
        <w:t>Identificar y formular las actividades orientadas a fortalecer la participación y atención al ciudadano.</w:t>
      </w:r>
    </w:p>
    <w:p w:rsidR="00081FE7" w:rsidRPr="00081FE7" w:rsidRDefault="00081FE7" w:rsidP="00081FE7">
      <w:pPr>
        <w:pStyle w:val="Prrafodelista"/>
        <w:numPr>
          <w:ilvl w:val="0"/>
          <w:numId w:val="25"/>
        </w:numPr>
        <w:spacing w:after="2"/>
        <w:jc w:val="both"/>
        <w:rPr>
          <w:rFonts w:ascii="Cambria" w:hAnsi="Cambria"/>
        </w:rPr>
      </w:pPr>
      <w:r w:rsidRPr="00081FE7">
        <w:rPr>
          <w:rFonts w:ascii="Cambria" w:hAnsi="Cambria"/>
        </w:rPr>
        <w:t>Establecer las acciones que permitan realizar la medición de la satisfacción de los usuarios y ciudadanos respecto de los servicios prestados por la UIAF.</w:t>
      </w:r>
    </w:p>
    <w:p w:rsidR="00081FE7" w:rsidRPr="00081FE7" w:rsidRDefault="00081FE7" w:rsidP="00081FE7">
      <w:pPr>
        <w:pStyle w:val="Prrafodelista"/>
        <w:numPr>
          <w:ilvl w:val="0"/>
          <w:numId w:val="25"/>
        </w:numPr>
        <w:spacing w:after="2"/>
        <w:jc w:val="both"/>
        <w:rPr>
          <w:rFonts w:ascii="Cambria" w:hAnsi="Cambria"/>
        </w:rPr>
      </w:pPr>
      <w:r w:rsidRPr="00081FE7">
        <w:rPr>
          <w:rFonts w:ascii="Cambria" w:hAnsi="Cambria"/>
        </w:rPr>
        <w:t>Identificar y formular las actividades que den cumplimiento a lo establecido en la Ley de Transparencia y Acceso a la Información.</w:t>
      </w:r>
    </w:p>
    <w:p w:rsidR="00081FE7" w:rsidRPr="00081FE7" w:rsidRDefault="00081FE7" w:rsidP="00081FE7">
      <w:pPr>
        <w:pStyle w:val="Prrafodelista"/>
        <w:numPr>
          <w:ilvl w:val="0"/>
          <w:numId w:val="25"/>
        </w:numPr>
        <w:spacing w:after="2"/>
        <w:jc w:val="both"/>
        <w:rPr>
          <w:rFonts w:ascii="Cambria" w:hAnsi="Cambria"/>
        </w:rPr>
      </w:pPr>
      <w:r w:rsidRPr="00081FE7">
        <w:rPr>
          <w:rFonts w:ascii="Cambria" w:hAnsi="Cambria"/>
        </w:rPr>
        <w:t>Establecer las actividades que permitan realizar un proceso de rendición de cuentas permanente manteniendo informados a los ciudadanos sobre la gestión de la entidad, de manera clara, accesible y oportuna.</w:t>
      </w:r>
    </w:p>
    <w:p w:rsidR="00081FE7" w:rsidRPr="00081FE7" w:rsidRDefault="00081FE7" w:rsidP="00081FE7">
      <w:pPr>
        <w:pStyle w:val="Prrafodelista"/>
        <w:numPr>
          <w:ilvl w:val="0"/>
          <w:numId w:val="25"/>
        </w:numPr>
        <w:spacing w:after="2"/>
        <w:jc w:val="both"/>
        <w:rPr>
          <w:rFonts w:ascii="Cambria" w:hAnsi="Cambria"/>
        </w:rPr>
      </w:pPr>
      <w:r w:rsidRPr="00081FE7">
        <w:rPr>
          <w:rFonts w:ascii="Cambria" w:hAnsi="Cambria"/>
        </w:rPr>
        <w:t>Formular las actividades de socialización e interiorización del Código de Integridad.</w:t>
      </w:r>
    </w:p>
    <w:p w:rsidR="00081FE7" w:rsidRPr="00081FE7" w:rsidRDefault="00081FE7" w:rsidP="00081FE7">
      <w:pPr>
        <w:pStyle w:val="Prrafodelista"/>
        <w:ind w:left="0" w:right="55"/>
        <w:rPr>
          <w:rFonts w:ascii="Cambria" w:hAnsi="Cambria"/>
        </w:rPr>
      </w:pPr>
    </w:p>
    <w:p w:rsidR="00081FE7" w:rsidRPr="00081FE7" w:rsidRDefault="00081FE7" w:rsidP="00081FE7">
      <w:pPr>
        <w:pStyle w:val="Sinespaciado"/>
        <w:numPr>
          <w:ilvl w:val="0"/>
          <w:numId w:val="20"/>
        </w:numPr>
        <w:spacing w:line="360" w:lineRule="auto"/>
        <w:ind w:left="426" w:right="55" w:hanging="426"/>
        <w:rPr>
          <w:b/>
          <w:sz w:val="22"/>
        </w:rPr>
      </w:pPr>
      <w:r w:rsidRPr="00081FE7">
        <w:rPr>
          <w:b/>
          <w:sz w:val="22"/>
        </w:rPr>
        <w:lastRenderedPageBreak/>
        <w:t>CONSTRUCCIÓN DEL PLAN ANTICORRUPCIÓN</w:t>
      </w:r>
    </w:p>
    <w:p w:rsidR="00081FE7" w:rsidRPr="00081FE7" w:rsidRDefault="00081FE7" w:rsidP="00081FE7">
      <w:pPr>
        <w:ind w:right="55"/>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 xml:space="preserve">El principal referente metodológico para la construcción del Plan Anticorrupción y de Atención al Ciudadano es el documento “Estrategias para la Construcción del Plan Anticorrupción y de Atención al Ciudadano – Versión 2”, expedida por el Gobierno </w:t>
      </w:r>
      <w:r w:rsidR="00C6312C">
        <w:rPr>
          <w:rFonts w:ascii="Cambria" w:hAnsi="Cambria"/>
          <w:sz w:val="22"/>
        </w:rPr>
        <w:t>n</w:t>
      </w:r>
      <w:r w:rsidRPr="00081FE7">
        <w:rPr>
          <w:rFonts w:ascii="Cambria" w:hAnsi="Cambria"/>
          <w:sz w:val="22"/>
        </w:rPr>
        <w:t>acional y elaborada conjuntamente entre la Secretaría de Transparencia de la Presidencia de la República, el Departamento Administrativo de la Función Pública y el Departamento Nacional de Planeación.</w:t>
      </w:r>
    </w:p>
    <w:p w:rsidR="00081FE7" w:rsidRPr="00081FE7" w:rsidRDefault="00081FE7" w:rsidP="00081FE7">
      <w:pPr>
        <w:jc w:val="both"/>
        <w:rPr>
          <w:rFonts w:ascii="Cambria" w:hAnsi="Cambria"/>
          <w:sz w:val="22"/>
        </w:rPr>
      </w:pPr>
    </w:p>
    <w:p w:rsidR="00081FE7" w:rsidRPr="00081FE7" w:rsidRDefault="00081FE7" w:rsidP="00081FE7">
      <w:pPr>
        <w:ind w:right="55"/>
        <w:jc w:val="both"/>
        <w:rPr>
          <w:rFonts w:ascii="Cambria" w:hAnsi="Cambria"/>
          <w:sz w:val="22"/>
        </w:rPr>
      </w:pPr>
      <w:r w:rsidRPr="00081FE7">
        <w:rPr>
          <w:rFonts w:ascii="Cambria" w:hAnsi="Cambria"/>
          <w:sz w:val="22"/>
        </w:rPr>
        <w:t>Para la elaboración del Plan Anticorrupción y de Atención al Ciudadano se tuvieron en cuenta los siguientes insumos:</w:t>
      </w:r>
    </w:p>
    <w:p w:rsidR="00081FE7" w:rsidRPr="00081FE7" w:rsidRDefault="00081FE7" w:rsidP="00081FE7">
      <w:pPr>
        <w:ind w:right="55"/>
        <w:jc w:val="both"/>
        <w:rPr>
          <w:rFonts w:ascii="Cambria" w:hAnsi="Cambria"/>
          <w:sz w:val="22"/>
        </w:rPr>
      </w:pPr>
    </w:p>
    <w:p w:rsidR="00081FE7" w:rsidRPr="00081FE7" w:rsidRDefault="00081FE7" w:rsidP="00081FE7">
      <w:pPr>
        <w:pStyle w:val="Prrafodelista"/>
        <w:numPr>
          <w:ilvl w:val="0"/>
          <w:numId w:val="32"/>
        </w:numPr>
        <w:spacing w:after="3" w:line="248" w:lineRule="auto"/>
        <w:ind w:right="55"/>
        <w:jc w:val="both"/>
        <w:rPr>
          <w:rFonts w:ascii="Cambria" w:hAnsi="Cambria"/>
        </w:rPr>
      </w:pPr>
      <w:r w:rsidRPr="00081FE7">
        <w:rPr>
          <w:rFonts w:ascii="Cambria" w:hAnsi="Cambria"/>
        </w:rPr>
        <w:t>Estrategias para la Construcción del Plan Anticorrupción y de Atención al Ciudadano – Versión 2.</w:t>
      </w:r>
    </w:p>
    <w:p w:rsidR="00081FE7" w:rsidRPr="00081FE7" w:rsidRDefault="00081FE7" w:rsidP="00081FE7">
      <w:pPr>
        <w:pStyle w:val="Prrafodelista"/>
        <w:numPr>
          <w:ilvl w:val="0"/>
          <w:numId w:val="32"/>
        </w:numPr>
        <w:spacing w:after="3" w:line="248" w:lineRule="auto"/>
        <w:ind w:right="55"/>
        <w:jc w:val="both"/>
        <w:rPr>
          <w:rFonts w:ascii="Cambria" w:hAnsi="Cambria"/>
        </w:rPr>
      </w:pPr>
      <w:r w:rsidRPr="00081FE7">
        <w:rPr>
          <w:rFonts w:ascii="Cambria" w:hAnsi="Cambria"/>
        </w:rPr>
        <w:t>Política de Administración del Riesgo.</w:t>
      </w:r>
    </w:p>
    <w:p w:rsidR="00081FE7" w:rsidRPr="00081FE7" w:rsidRDefault="00081FE7" w:rsidP="00081FE7">
      <w:pPr>
        <w:pStyle w:val="Prrafodelista"/>
        <w:numPr>
          <w:ilvl w:val="0"/>
          <w:numId w:val="32"/>
        </w:numPr>
        <w:spacing w:after="3" w:line="248" w:lineRule="auto"/>
        <w:ind w:right="55"/>
        <w:jc w:val="both"/>
        <w:rPr>
          <w:rFonts w:ascii="Cambria" w:hAnsi="Cambria"/>
        </w:rPr>
      </w:pPr>
      <w:r w:rsidRPr="00081FE7">
        <w:rPr>
          <w:rFonts w:ascii="Cambria" w:hAnsi="Cambria"/>
        </w:rPr>
        <w:t>Informe del estado de avance de publicación de información en el sitio web.</w:t>
      </w:r>
    </w:p>
    <w:p w:rsidR="00081FE7" w:rsidRPr="00081FE7" w:rsidRDefault="00081FE7" w:rsidP="00081FE7">
      <w:pPr>
        <w:pStyle w:val="Prrafodelista"/>
        <w:numPr>
          <w:ilvl w:val="0"/>
          <w:numId w:val="32"/>
        </w:numPr>
        <w:spacing w:after="3" w:line="248" w:lineRule="auto"/>
        <w:ind w:right="55"/>
        <w:jc w:val="both"/>
        <w:rPr>
          <w:rFonts w:ascii="Cambria" w:hAnsi="Cambria"/>
        </w:rPr>
      </w:pPr>
      <w:r w:rsidRPr="00081FE7">
        <w:rPr>
          <w:rFonts w:ascii="Cambria" w:hAnsi="Cambria"/>
        </w:rPr>
        <w:t>Informe de las PQRS.</w:t>
      </w:r>
    </w:p>
    <w:p w:rsidR="00081FE7" w:rsidRPr="00081FE7" w:rsidRDefault="00081FE7" w:rsidP="00081FE7">
      <w:pPr>
        <w:pStyle w:val="Prrafodelista"/>
        <w:numPr>
          <w:ilvl w:val="0"/>
          <w:numId w:val="32"/>
        </w:numPr>
        <w:spacing w:after="3" w:line="248" w:lineRule="auto"/>
        <w:ind w:right="55"/>
        <w:jc w:val="both"/>
        <w:rPr>
          <w:rFonts w:ascii="Cambria" w:hAnsi="Cambria"/>
        </w:rPr>
      </w:pPr>
      <w:r w:rsidRPr="00081FE7">
        <w:rPr>
          <w:rFonts w:ascii="Cambria" w:hAnsi="Cambria"/>
        </w:rPr>
        <w:t>Estrategia de Rendición de Cuentas.</w:t>
      </w:r>
    </w:p>
    <w:p w:rsidR="00081FE7" w:rsidRPr="00081FE7" w:rsidRDefault="00081FE7" w:rsidP="00081FE7">
      <w:pPr>
        <w:pStyle w:val="Prrafodelista"/>
        <w:numPr>
          <w:ilvl w:val="0"/>
          <w:numId w:val="32"/>
        </w:numPr>
        <w:spacing w:after="3" w:line="248" w:lineRule="auto"/>
        <w:ind w:right="55"/>
        <w:jc w:val="both"/>
        <w:rPr>
          <w:rFonts w:ascii="Cambria" w:hAnsi="Cambria"/>
        </w:rPr>
      </w:pPr>
      <w:r w:rsidRPr="00081FE7">
        <w:rPr>
          <w:rFonts w:ascii="Cambria" w:hAnsi="Cambria"/>
        </w:rPr>
        <w:t>Plan Estratégico Institucional y Plan Estratégico Sectorial.</w:t>
      </w:r>
    </w:p>
    <w:p w:rsidR="00081FE7" w:rsidRPr="00081FE7" w:rsidRDefault="00081FE7" w:rsidP="00081FE7">
      <w:pPr>
        <w:pStyle w:val="Prrafodelista"/>
        <w:numPr>
          <w:ilvl w:val="0"/>
          <w:numId w:val="32"/>
        </w:numPr>
        <w:spacing w:after="3" w:line="248" w:lineRule="auto"/>
        <w:ind w:right="55"/>
        <w:jc w:val="both"/>
        <w:rPr>
          <w:rFonts w:ascii="Cambria" w:hAnsi="Cambria"/>
        </w:rPr>
      </w:pPr>
      <w:r w:rsidRPr="00081FE7">
        <w:rPr>
          <w:rFonts w:ascii="Cambria" w:hAnsi="Cambria"/>
        </w:rPr>
        <w:t>Informe de resultados del ejercicio de rendición de cuentas.</w:t>
      </w:r>
    </w:p>
    <w:p w:rsidR="00081FE7" w:rsidRPr="00081FE7" w:rsidRDefault="00081FE7" w:rsidP="00081FE7">
      <w:pPr>
        <w:pStyle w:val="Prrafodelista"/>
        <w:numPr>
          <w:ilvl w:val="0"/>
          <w:numId w:val="32"/>
        </w:numPr>
        <w:spacing w:after="3" w:line="248" w:lineRule="auto"/>
        <w:ind w:right="55"/>
        <w:jc w:val="both"/>
        <w:rPr>
          <w:rFonts w:ascii="Cambria" w:hAnsi="Cambria"/>
        </w:rPr>
      </w:pPr>
      <w:r w:rsidRPr="00081FE7">
        <w:rPr>
          <w:rFonts w:ascii="Cambria" w:hAnsi="Cambria"/>
        </w:rPr>
        <w:t>Mapa de Procesos y caracterización de procesos.</w:t>
      </w:r>
    </w:p>
    <w:p w:rsidR="00081FE7" w:rsidRPr="00081FE7" w:rsidRDefault="00081FE7" w:rsidP="00081FE7">
      <w:pPr>
        <w:pStyle w:val="Prrafodelista"/>
        <w:numPr>
          <w:ilvl w:val="0"/>
          <w:numId w:val="32"/>
        </w:numPr>
        <w:spacing w:after="3" w:line="248" w:lineRule="auto"/>
        <w:ind w:right="55"/>
        <w:jc w:val="both"/>
        <w:rPr>
          <w:rFonts w:ascii="Cambria" w:hAnsi="Cambria"/>
        </w:rPr>
      </w:pPr>
      <w:r w:rsidRPr="00081FE7">
        <w:rPr>
          <w:rFonts w:ascii="Cambria" w:hAnsi="Cambria"/>
        </w:rPr>
        <w:t>Caracterización de los ciudadanos, usuarios y grupos de interés.</w:t>
      </w:r>
    </w:p>
    <w:p w:rsidR="00081FE7" w:rsidRPr="00081FE7" w:rsidRDefault="00081FE7" w:rsidP="00081FE7">
      <w:pPr>
        <w:pStyle w:val="Prrafodelista"/>
        <w:numPr>
          <w:ilvl w:val="0"/>
          <w:numId w:val="32"/>
        </w:numPr>
        <w:spacing w:after="3" w:line="248" w:lineRule="auto"/>
        <w:ind w:right="55"/>
        <w:jc w:val="both"/>
        <w:rPr>
          <w:rFonts w:ascii="Cambria" w:hAnsi="Cambria"/>
        </w:rPr>
      </w:pPr>
      <w:r w:rsidRPr="00081FE7">
        <w:rPr>
          <w:rFonts w:ascii="Cambria" w:hAnsi="Cambria"/>
        </w:rPr>
        <w:t>Mapa de riesgos de corrupción.</w:t>
      </w:r>
    </w:p>
    <w:p w:rsidR="00081FE7" w:rsidRPr="00081FE7" w:rsidRDefault="00081FE7" w:rsidP="00081FE7">
      <w:pPr>
        <w:jc w:val="both"/>
        <w:rPr>
          <w:rFonts w:ascii="Cambria" w:hAnsi="Cambria"/>
          <w:sz w:val="22"/>
        </w:rPr>
      </w:pPr>
    </w:p>
    <w:p w:rsidR="00081FE7" w:rsidRPr="00081FE7" w:rsidRDefault="00081FE7" w:rsidP="00081FE7">
      <w:pPr>
        <w:pStyle w:val="Sinespaciado"/>
        <w:numPr>
          <w:ilvl w:val="0"/>
          <w:numId w:val="31"/>
        </w:numPr>
        <w:ind w:left="567" w:right="55" w:hanging="567"/>
        <w:rPr>
          <w:b/>
          <w:sz w:val="22"/>
        </w:rPr>
      </w:pPr>
      <w:r w:rsidRPr="00081FE7">
        <w:rPr>
          <w:b/>
          <w:sz w:val="22"/>
        </w:rPr>
        <w:t>COMPONENTES DEL PLAN ANTICORRUPCIÓN Y DE ATENCIÓN AL CUIDADANO</w:t>
      </w:r>
    </w:p>
    <w:p w:rsidR="00081FE7" w:rsidRPr="00081FE7" w:rsidRDefault="00081FE7" w:rsidP="00081FE7">
      <w:pPr>
        <w:pStyle w:val="Sinespaciado"/>
        <w:ind w:left="0" w:right="55" w:firstLine="0"/>
        <w:rPr>
          <w:sz w:val="22"/>
        </w:rPr>
      </w:pPr>
    </w:p>
    <w:p w:rsidR="00081FE7" w:rsidRPr="00081FE7" w:rsidRDefault="00081FE7" w:rsidP="00081FE7">
      <w:pPr>
        <w:pStyle w:val="Sinespaciado"/>
        <w:numPr>
          <w:ilvl w:val="1"/>
          <w:numId w:val="31"/>
        </w:numPr>
        <w:ind w:left="567" w:right="55" w:hanging="567"/>
        <w:rPr>
          <w:b/>
          <w:sz w:val="22"/>
        </w:rPr>
      </w:pPr>
      <w:r w:rsidRPr="00081FE7">
        <w:rPr>
          <w:b/>
          <w:sz w:val="22"/>
        </w:rPr>
        <w:t>GESTIÓN DEL RIESGO DE CORRUPCIÓN</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 xml:space="preserve">Este componente establece los criterios generales para la identificación y prevención de los riesgos de corrupción de la entidad, permitiendo la generación de alarmas y la elaboración de mecanismos orientados a evitarlos; previniéndolos o mitigándolos. </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La administración del riesgo comprende el conjunto de elementos de control y sus interrelaciones, para que la institución evalúe e intervenga aquellos eventos, tanto internos como externos, que puedan afectar de manera positiva o negativa el logro de sus objetivos institucionales. La administración del riesgo contribuye a que la entidad consolide su sistema de control interno y a que se genere una cultura de autocontrol y autoevaluación al interior de la misma.</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lastRenderedPageBreak/>
        <w:t xml:space="preserve">Teniendo en cuenta que los riesgos son posibilidades de ocurrencia de toda situación que pueda desviar el normal desarrollo de las actividades de los procesos e impidan el logro de los objetivos estratégicos para el cumplimiento de la misión institucional, la Unidad de Información y Análisis Financiero - UIAF está fortaleciendo su proceso estratégico, de </w:t>
      </w:r>
      <w:r w:rsidRPr="00370C19">
        <w:rPr>
          <w:sz w:val="22"/>
        </w:rPr>
        <w:t>acuerdo con los lineamientos del Modelo Estándar de Control Interno – MECI</w:t>
      </w:r>
      <w:r w:rsidR="00370C19" w:rsidRPr="00370C19">
        <w:rPr>
          <w:sz w:val="22"/>
        </w:rPr>
        <w:t xml:space="preserve"> (actualizado a través del Modelo Integrado de Planeación y Gestión – MIPG en la Política de Control Interno)</w:t>
      </w:r>
      <w:r w:rsidRPr="00370C19">
        <w:rPr>
          <w:sz w:val="22"/>
        </w:rPr>
        <w:t xml:space="preserve"> y en particular, el componente de administración de riesgos, a través del análisis y estructuración de los elementos de control definidos en el sistema integral de gestión.</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La UIAF entiende la administración del riesgo como un proceso transversal a todas las acciones de la entidad, que inicia con la planeación institucional incluyendo a todas las personas que hacen parte de la organización, con el fin de proporcionar una seguridad razonable de la consecución de los objetivos tanto de los procesos como los misionales.</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La UIAF conocedora de la importancia de estructurar e implementar un proceso de administración de los riesgos acorde con las necesidades de la entidad y ajustado al marco normativo que lo regula, así como alineado con los objetivos estratégicos, planes, programas, proyectos y procesos relacionados con la operación de la entidad, viene definiendo y ejecutando planes operativos orientados a fortalecer su Sistema Integrado de Gestión, de tal manera que sea entendido como herramienta estratégica que contribuya al cumplimiento de los objetivos institucionales.</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 xml:space="preserve">Como un instrumento de tipo preventivo y componente del plan anticorrupción, la entidad ha elaborado el mapa de riesgos de corrupción, sobre la base de los procesos identificados y caracterizados dentro del sistema integrado de gestión, siguiendo la metodología interna elaborada con base en la “Guía para la Administración del Riesgo y el diseño de controles en entidades públicas Versión </w:t>
      </w:r>
      <w:r w:rsidR="00C6312C">
        <w:rPr>
          <w:sz w:val="22"/>
        </w:rPr>
        <w:t>5</w:t>
      </w:r>
      <w:r w:rsidRPr="00081FE7">
        <w:rPr>
          <w:sz w:val="22"/>
        </w:rPr>
        <w:t>” del Departamento Administrativo de la Función Pública y el documento “Estrategias Para la Construcción del Plan Anticorrupción y de Atención al Ciudadano” Versión 2, instrumentos que servirán de soporte a la Administración  de los  riesgos de corrupción  y la  mitigación  de la materialización de los  actos de corrupción.</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La construcción de este componente inició con la verificación de la información del Sistema de PQRS de la UIAF, a fin de determinar si hubo o no  denuncias, quejas o peticiones realizadas por la ciudadanía, sobre posibles hechos de corrupción por parte de los servidores públicos de la UIAF y los informes de seguimiento al plan anticorrupción de la última vigencia, elaborados por la Oficina de Control Interno, permitiendo concluir que al cierre de la vigencia 202</w:t>
      </w:r>
      <w:r w:rsidR="00C6312C">
        <w:rPr>
          <w:sz w:val="22"/>
        </w:rPr>
        <w:t>2</w:t>
      </w:r>
      <w:r w:rsidRPr="00081FE7">
        <w:rPr>
          <w:sz w:val="22"/>
        </w:rPr>
        <w:t xml:space="preserve">, no hubo riesgos de corrupción identificados que se hayan materializado, dada la efectividad de los controles implementados. </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 xml:space="preserve">A pesar de que a la fecha la UIAF no ha registrado eventos de materialización de riesgos de corrupción, se hace necesario formular acciones que fortalezcan el proceso de </w:t>
      </w:r>
      <w:r w:rsidRPr="00081FE7">
        <w:rPr>
          <w:sz w:val="22"/>
        </w:rPr>
        <w:lastRenderedPageBreak/>
        <w:t>administración de riesgos y refuercen las medidas de control. Así mismo, se definen actividades que permitan realizar revisiones y actualizaciones al Mapa de Riesgos con menor intervalo de tiempo, en procura de lograr una mayor efectividad en los controles identificados y enfocar los esfuerzos a aquellos que realmente representen mayor probabilidad de ocurrencia de actos de corrupción.</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La identificación, análisis, valoración de los riesgos, los controles y acciones de manejo, se encuentran relacionados en el documento “Mapa de Riesgos de Corrupción 202</w:t>
      </w:r>
      <w:r w:rsidR="00C6312C">
        <w:rPr>
          <w:sz w:val="22"/>
        </w:rPr>
        <w:t>3</w:t>
      </w:r>
      <w:r w:rsidRPr="00081FE7">
        <w:rPr>
          <w:sz w:val="22"/>
        </w:rPr>
        <w:t>”, que se publica en el sitio web como anexo al presente documento.</w:t>
      </w:r>
    </w:p>
    <w:p w:rsidR="00081FE7" w:rsidRPr="00081FE7" w:rsidRDefault="00081FE7" w:rsidP="00081FE7">
      <w:pPr>
        <w:pStyle w:val="Sinespaciado"/>
        <w:ind w:left="0" w:right="55" w:firstLine="0"/>
      </w:pPr>
    </w:p>
    <w:tbl>
      <w:tblPr>
        <w:tblW w:w="9913" w:type="dxa"/>
        <w:tblLayout w:type="fixed"/>
        <w:tblCellMar>
          <w:left w:w="70" w:type="dxa"/>
          <w:right w:w="70" w:type="dxa"/>
        </w:tblCellMar>
        <w:tblLook w:val="04A0" w:firstRow="1" w:lastRow="0" w:firstColumn="1" w:lastColumn="0" w:noHBand="0" w:noVBand="1"/>
      </w:tblPr>
      <w:tblGrid>
        <w:gridCol w:w="1691"/>
        <w:gridCol w:w="567"/>
        <w:gridCol w:w="2977"/>
        <w:gridCol w:w="1559"/>
        <w:gridCol w:w="1843"/>
        <w:gridCol w:w="1276"/>
      </w:tblGrid>
      <w:tr w:rsidR="00081FE7" w:rsidRPr="00081FE7" w:rsidTr="00A03FD7">
        <w:trPr>
          <w:trHeight w:val="495"/>
          <w:tblHeader/>
        </w:trPr>
        <w:tc>
          <w:tcPr>
            <w:tcW w:w="9913" w:type="dxa"/>
            <w:gridSpan w:val="6"/>
            <w:tcBorders>
              <w:top w:val="single" w:sz="8" w:space="0" w:color="366092"/>
              <w:left w:val="single" w:sz="8" w:space="0" w:color="366092"/>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bookmarkStart w:id="0" w:name="RANGE!B2:G14"/>
            <w:r w:rsidRPr="00081FE7">
              <w:rPr>
                <w:rFonts w:ascii="Cambria" w:hAnsi="Cambria" w:cs="Calibri"/>
                <w:b/>
                <w:bCs/>
                <w:sz w:val="18"/>
                <w:szCs w:val="18"/>
              </w:rPr>
              <w:t xml:space="preserve">Plan Anticorrupción y de Atención al Ciudadano                                                                                                                                                                                   </w:t>
            </w:r>
            <w:bookmarkEnd w:id="0"/>
          </w:p>
        </w:tc>
      </w:tr>
      <w:tr w:rsidR="00081FE7" w:rsidRPr="00081FE7" w:rsidTr="00A03FD7">
        <w:trPr>
          <w:trHeight w:val="390"/>
          <w:tblHeader/>
        </w:trPr>
        <w:tc>
          <w:tcPr>
            <w:tcW w:w="9913" w:type="dxa"/>
            <w:gridSpan w:val="6"/>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 xml:space="preserve">Componente 1: Gestión del Riesgo de </w:t>
            </w:r>
            <w:r w:rsidR="00C6312C" w:rsidRPr="00081FE7">
              <w:rPr>
                <w:rFonts w:ascii="Cambria" w:hAnsi="Cambria" w:cs="Calibri"/>
                <w:b/>
                <w:bCs/>
                <w:sz w:val="18"/>
                <w:szCs w:val="18"/>
              </w:rPr>
              <w:t>Corrupción -</w:t>
            </w:r>
            <w:r w:rsidRPr="00081FE7">
              <w:rPr>
                <w:rFonts w:ascii="Cambria" w:hAnsi="Cambria" w:cs="Calibri"/>
                <w:b/>
                <w:bCs/>
                <w:sz w:val="18"/>
                <w:szCs w:val="18"/>
              </w:rPr>
              <w:t xml:space="preserve"> Mapa de Riesgos de Corrupción</w:t>
            </w:r>
          </w:p>
        </w:tc>
      </w:tr>
      <w:tr w:rsidR="00081FE7" w:rsidRPr="00081FE7" w:rsidTr="00C6312C">
        <w:trPr>
          <w:trHeight w:val="292"/>
          <w:tblHeader/>
        </w:trPr>
        <w:tc>
          <w:tcPr>
            <w:tcW w:w="1691" w:type="dxa"/>
            <w:tcBorders>
              <w:top w:val="nil"/>
              <w:left w:val="single" w:sz="8" w:space="0" w:color="366092"/>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Subcomponente</w:t>
            </w:r>
          </w:p>
        </w:tc>
        <w:tc>
          <w:tcPr>
            <w:tcW w:w="3544" w:type="dxa"/>
            <w:gridSpan w:val="2"/>
            <w:tcBorders>
              <w:top w:val="single" w:sz="8" w:space="0" w:color="366092"/>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 xml:space="preserve"> Actividades</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Meta o producto</w:t>
            </w:r>
          </w:p>
        </w:tc>
        <w:tc>
          <w:tcPr>
            <w:tcW w:w="1843"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 xml:space="preserve">Responsable </w:t>
            </w:r>
          </w:p>
        </w:tc>
        <w:tc>
          <w:tcPr>
            <w:tcW w:w="1276"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Fecha programada</w:t>
            </w:r>
          </w:p>
        </w:tc>
      </w:tr>
      <w:tr w:rsidR="00081FE7" w:rsidRPr="00081FE7" w:rsidTr="00C6312C">
        <w:trPr>
          <w:trHeight w:val="765"/>
        </w:trPr>
        <w:tc>
          <w:tcPr>
            <w:tcW w:w="1691" w:type="dxa"/>
            <w:vMerge w:val="restart"/>
            <w:tcBorders>
              <w:top w:val="nil"/>
              <w:left w:val="single" w:sz="8" w:space="0" w:color="366092"/>
              <w:bottom w:val="single" w:sz="8" w:space="0" w:color="366092"/>
              <w:right w:val="single" w:sz="8" w:space="0" w:color="366092"/>
            </w:tcBorders>
            <w:shd w:val="clear" w:color="000000" w:fill="DCE6F1"/>
            <w:vAlign w:val="center"/>
            <w:hideMark/>
          </w:tcPr>
          <w:p w:rsidR="00081FE7" w:rsidRPr="00081FE7" w:rsidRDefault="00081FE7" w:rsidP="00A03FD7">
            <w:pPr>
              <w:rPr>
                <w:rFonts w:ascii="Cambria" w:hAnsi="Cambria" w:cs="Calibri"/>
                <w:sz w:val="18"/>
                <w:szCs w:val="18"/>
              </w:rPr>
            </w:pPr>
            <w:r w:rsidRPr="00081FE7">
              <w:rPr>
                <w:rFonts w:ascii="Cambria" w:hAnsi="Cambria" w:cs="Calibri"/>
                <w:b/>
                <w:bCs/>
                <w:sz w:val="18"/>
                <w:szCs w:val="18"/>
              </w:rPr>
              <w:t xml:space="preserve">Subcomponente /proceso 1                                          </w:t>
            </w:r>
            <w:r w:rsidRPr="00081FE7">
              <w:rPr>
                <w:rFonts w:ascii="Cambria" w:hAnsi="Cambria" w:cs="Calibri"/>
                <w:sz w:val="18"/>
                <w:szCs w:val="18"/>
              </w:rPr>
              <w:t xml:space="preserve"> Política de Administración de Riesgos de Corrupción</w:t>
            </w:r>
          </w:p>
        </w:tc>
        <w:tc>
          <w:tcPr>
            <w:tcW w:w="567"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1.1</w:t>
            </w:r>
          </w:p>
        </w:tc>
        <w:tc>
          <w:tcPr>
            <w:tcW w:w="2977"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Revisar y actualizar la Política de Administración del Riesgo</w:t>
            </w:r>
          </w:p>
        </w:tc>
        <w:tc>
          <w:tcPr>
            <w:tcW w:w="1559"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i/>
                <w:iCs/>
                <w:sz w:val="18"/>
                <w:szCs w:val="18"/>
              </w:rPr>
            </w:pPr>
            <w:r w:rsidRPr="00081FE7">
              <w:rPr>
                <w:rFonts w:ascii="Cambria" w:hAnsi="Cambria" w:cs="Calibri"/>
                <w:i/>
                <w:iCs/>
                <w:sz w:val="18"/>
                <w:szCs w:val="18"/>
              </w:rPr>
              <w:t>Política de Administración del Riesgo actualizada</w:t>
            </w:r>
          </w:p>
        </w:tc>
        <w:tc>
          <w:tcPr>
            <w:tcW w:w="1843"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i/>
                <w:iCs/>
                <w:sz w:val="18"/>
                <w:szCs w:val="18"/>
              </w:rPr>
            </w:pPr>
            <w:r w:rsidRPr="00081FE7">
              <w:rPr>
                <w:rFonts w:ascii="Cambria" w:hAnsi="Cambria" w:cs="Calibri"/>
                <w:i/>
                <w:iCs/>
                <w:sz w:val="18"/>
                <w:szCs w:val="18"/>
              </w:rPr>
              <w:t>Alta Dirección, Oficina de Control Interno</w:t>
            </w:r>
          </w:p>
        </w:tc>
        <w:tc>
          <w:tcPr>
            <w:tcW w:w="1276"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iCs/>
                <w:sz w:val="18"/>
                <w:szCs w:val="18"/>
              </w:rPr>
            </w:pPr>
            <w:r w:rsidRPr="00081FE7">
              <w:rPr>
                <w:rFonts w:ascii="Cambria" w:hAnsi="Cambria" w:cs="Calibri"/>
                <w:iCs/>
                <w:sz w:val="18"/>
                <w:szCs w:val="18"/>
              </w:rPr>
              <w:t>30-</w:t>
            </w:r>
            <w:r w:rsidR="00C6312C">
              <w:rPr>
                <w:rFonts w:ascii="Cambria" w:hAnsi="Cambria" w:cs="Calibri"/>
                <w:iCs/>
                <w:sz w:val="18"/>
                <w:szCs w:val="18"/>
              </w:rPr>
              <w:t>abr</w:t>
            </w:r>
            <w:r w:rsidRPr="00081FE7">
              <w:rPr>
                <w:rFonts w:ascii="Cambria" w:hAnsi="Cambria" w:cs="Calibri"/>
                <w:iCs/>
                <w:sz w:val="18"/>
                <w:szCs w:val="18"/>
              </w:rPr>
              <w:t>-202</w:t>
            </w:r>
            <w:r w:rsidR="00C6312C">
              <w:rPr>
                <w:rFonts w:ascii="Cambria" w:hAnsi="Cambria" w:cs="Calibri"/>
                <w:iCs/>
                <w:sz w:val="18"/>
                <w:szCs w:val="18"/>
              </w:rPr>
              <w:t>3</w:t>
            </w:r>
          </w:p>
        </w:tc>
      </w:tr>
      <w:tr w:rsidR="00081FE7" w:rsidRPr="00081FE7" w:rsidTr="00C6312C">
        <w:trPr>
          <w:trHeight w:val="765"/>
        </w:trPr>
        <w:tc>
          <w:tcPr>
            <w:tcW w:w="1691"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cs="Calibri"/>
                <w:sz w:val="18"/>
                <w:szCs w:val="18"/>
              </w:rPr>
            </w:pPr>
          </w:p>
        </w:tc>
        <w:tc>
          <w:tcPr>
            <w:tcW w:w="567"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1.2</w:t>
            </w:r>
          </w:p>
        </w:tc>
        <w:tc>
          <w:tcPr>
            <w:tcW w:w="2977"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Socializar la Política de Administración del Riesgo a los servidores públicos de la Entidad</w:t>
            </w:r>
          </w:p>
        </w:tc>
        <w:tc>
          <w:tcPr>
            <w:tcW w:w="1559"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Política de Administración del Riesgo socializada</w:t>
            </w:r>
          </w:p>
        </w:tc>
        <w:tc>
          <w:tcPr>
            <w:tcW w:w="1843" w:type="dxa"/>
            <w:tcBorders>
              <w:top w:val="nil"/>
              <w:left w:val="nil"/>
              <w:bottom w:val="single" w:sz="4" w:space="0" w:color="366092"/>
              <w:right w:val="single" w:sz="8" w:space="0" w:color="366092"/>
            </w:tcBorders>
            <w:shd w:val="clear" w:color="000000" w:fill="FFFFFF"/>
            <w:vAlign w:val="center"/>
            <w:hideMark/>
          </w:tcPr>
          <w:p w:rsidR="00081FE7" w:rsidRPr="00081FE7" w:rsidRDefault="00C6312C" w:rsidP="00A03FD7">
            <w:pPr>
              <w:rPr>
                <w:rFonts w:ascii="Cambria" w:hAnsi="Cambria" w:cs="Calibri"/>
                <w:sz w:val="18"/>
                <w:szCs w:val="18"/>
              </w:rPr>
            </w:pPr>
            <w:r>
              <w:rPr>
                <w:rFonts w:ascii="Cambria" w:hAnsi="Cambria" w:cs="Calibri"/>
                <w:sz w:val="18"/>
                <w:szCs w:val="18"/>
              </w:rPr>
              <w:t xml:space="preserve">Oficina Asesora de </w:t>
            </w:r>
            <w:r w:rsidR="00081FE7" w:rsidRPr="00081FE7">
              <w:rPr>
                <w:rFonts w:ascii="Cambria" w:hAnsi="Cambria" w:cs="Calibri"/>
                <w:sz w:val="18"/>
                <w:szCs w:val="18"/>
              </w:rPr>
              <w:t>Planeación</w:t>
            </w:r>
            <w:r>
              <w:rPr>
                <w:rFonts w:ascii="Cambria" w:hAnsi="Cambria" w:cs="Calibri"/>
                <w:sz w:val="18"/>
                <w:szCs w:val="18"/>
              </w:rPr>
              <w:t xml:space="preserve"> y Oficina de Control Interno e Inspección</w:t>
            </w:r>
          </w:p>
        </w:tc>
        <w:tc>
          <w:tcPr>
            <w:tcW w:w="1276" w:type="dxa"/>
            <w:tcBorders>
              <w:top w:val="nil"/>
              <w:left w:val="nil"/>
              <w:bottom w:val="single" w:sz="4" w:space="0" w:color="366092"/>
              <w:right w:val="single" w:sz="8" w:space="0" w:color="366092"/>
            </w:tcBorders>
            <w:shd w:val="clear" w:color="000000" w:fill="FFFFFF"/>
            <w:noWrap/>
            <w:vAlign w:val="center"/>
            <w:hideMark/>
          </w:tcPr>
          <w:p w:rsidR="00081FE7" w:rsidRPr="00081FE7" w:rsidRDefault="00C6312C" w:rsidP="00A03FD7">
            <w:pPr>
              <w:jc w:val="center"/>
              <w:rPr>
                <w:rFonts w:ascii="Cambria" w:hAnsi="Cambria" w:cs="Calibri"/>
                <w:sz w:val="18"/>
                <w:szCs w:val="18"/>
              </w:rPr>
            </w:pPr>
            <w:r>
              <w:rPr>
                <w:rFonts w:ascii="Cambria" w:hAnsi="Cambria" w:cs="Calibri"/>
                <w:sz w:val="18"/>
                <w:szCs w:val="18"/>
              </w:rPr>
              <w:t>28-feb-2023</w:t>
            </w:r>
          </w:p>
        </w:tc>
      </w:tr>
      <w:tr w:rsidR="00081FE7" w:rsidRPr="00081FE7" w:rsidTr="00C6312C">
        <w:trPr>
          <w:trHeight w:val="780"/>
        </w:trPr>
        <w:tc>
          <w:tcPr>
            <w:tcW w:w="1691"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cs="Calibri"/>
                <w:sz w:val="18"/>
                <w:szCs w:val="18"/>
              </w:rPr>
            </w:pPr>
          </w:p>
        </w:tc>
        <w:tc>
          <w:tcPr>
            <w:tcW w:w="56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1.3</w:t>
            </w:r>
          </w:p>
        </w:tc>
        <w:tc>
          <w:tcPr>
            <w:tcW w:w="297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Socializar la Política de Administración del Riesgo a la ciudadanía a través del sitio web</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Política de Administración del Riesgo socializada</w:t>
            </w:r>
          </w:p>
        </w:tc>
        <w:tc>
          <w:tcPr>
            <w:tcW w:w="1843" w:type="dxa"/>
            <w:tcBorders>
              <w:top w:val="nil"/>
              <w:left w:val="nil"/>
              <w:bottom w:val="single" w:sz="8" w:space="0" w:color="366092"/>
              <w:right w:val="single" w:sz="8" w:space="0" w:color="366092"/>
            </w:tcBorders>
            <w:shd w:val="clear" w:color="000000" w:fill="FFFFFF"/>
            <w:vAlign w:val="center"/>
            <w:hideMark/>
          </w:tcPr>
          <w:p w:rsidR="00081FE7" w:rsidRPr="00081FE7" w:rsidRDefault="00CF42F1" w:rsidP="00A03FD7">
            <w:pPr>
              <w:rPr>
                <w:rFonts w:ascii="Cambria" w:hAnsi="Cambria" w:cs="Calibri"/>
                <w:sz w:val="18"/>
                <w:szCs w:val="18"/>
              </w:rPr>
            </w:pPr>
            <w:r w:rsidRPr="00CF42F1">
              <w:rPr>
                <w:rFonts w:ascii="Cambria" w:hAnsi="Cambria" w:cs="Calibri"/>
                <w:sz w:val="18"/>
                <w:szCs w:val="18"/>
              </w:rPr>
              <w:t>Oficina Asesora de Planeación</w:t>
            </w:r>
          </w:p>
        </w:tc>
        <w:tc>
          <w:tcPr>
            <w:tcW w:w="1276"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Permanente</w:t>
            </w:r>
          </w:p>
        </w:tc>
      </w:tr>
      <w:tr w:rsidR="00081FE7" w:rsidRPr="00081FE7" w:rsidTr="00C6312C">
        <w:trPr>
          <w:trHeight w:val="510"/>
        </w:trPr>
        <w:tc>
          <w:tcPr>
            <w:tcW w:w="1691" w:type="dxa"/>
            <w:vMerge w:val="restart"/>
            <w:tcBorders>
              <w:top w:val="nil"/>
              <w:left w:val="single" w:sz="8" w:space="0" w:color="366092"/>
              <w:bottom w:val="single" w:sz="8" w:space="0" w:color="366092"/>
              <w:right w:val="single" w:sz="8" w:space="0" w:color="366092"/>
            </w:tcBorders>
            <w:shd w:val="clear" w:color="000000" w:fill="DCE6F1"/>
            <w:vAlign w:val="center"/>
            <w:hideMark/>
          </w:tcPr>
          <w:p w:rsidR="00081FE7" w:rsidRPr="00081FE7" w:rsidRDefault="00081FE7" w:rsidP="00A03FD7">
            <w:pPr>
              <w:rPr>
                <w:rFonts w:ascii="Cambria" w:hAnsi="Cambria" w:cs="Calibri"/>
                <w:sz w:val="18"/>
                <w:szCs w:val="18"/>
              </w:rPr>
            </w:pPr>
            <w:r w:rsidRPr="00081FE7">
              <w:rPr>
                <w:rFonts w:ascii="Cambria" w:hAnsi="Cambria" w:cs="Calibri"/>
                <w:b/>
                <w:bCs/>
                <w:sz w:val="18"/>
                <w:szCs w:val="18"/>
              </w:rPr>
              <w:t>Subcomponente /</w:t>
            </w:r>
            <w:r w:rsidR="00CF42F1" w:rsidRPr="00081FE7">
              <w:rPr>
                <w:rFonts w:ascii="Cambria" w:hAnsi="Cambria" w:cs="Calibri"/>
                <w:b/>
                <w:bCs/>
                <w:sz w:val="18"/>
                <w:szCs w:val="18"/>
              </w:rPr>
              <w:t>proceso 2</w:t>
            </w:r>
            <w:r w:rsidRPr="00081FE7">
              <w:rPr>
                <w:rFonts w:ascii="Cambria" w:hAnsi="Cambria" w:cs="Calibri"/>
                <w:b/>
                <w:bCs/>
                <w:sz w:val="18"/>
                <w:szCs w:val="18"/>
              </w:rPr>
              <w:t xml:space="preserve">                                                                    </w:t>
            </w:r>
            <w:r w:rsidRPr="00081FE7">
              <w:rPr>
                <w:rFonts w:ascii="Cambria" w:hAnsi="Cambria" w:cs="Calibri"/>
                <w:sz w:val="18"/>
                <w:szCs w:val="18"/>
              </w:rPr>
              <w:t xml:space="preserve">  Construcción del Mapa de Riesgos de Corrupción</w:t>
            </w:r>
          </w:p>
        </w:tc>
        <w:tc>
          <w:tcPr>
            <w:tcW w:w="567"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2.1</w:t>
            </w:r>
          </w:p>
        </w:tc>
        <w:tc>
          <w:tcPr>
            <w:tcW w:w="2977"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Elaborar el Mapa de Riesgos de Corrupción y publicarlo en el sitio web de la UIAF</w:t>
            </w:r>
          </w:p>
        </w:tc>
        <w:tc>
          <w:tcPr>
            <w:tcW w:w="1559"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Mapa de Riesgos de Corrupción elaborado</w:t>
            </w:r>
          </w:p>
        </w:tc>
        <w:tc>
          <w:tcPr>
            <w:tcW w:w="1843" w:type="dxa"/>
            <w:tcBorders>
              <w:top w:val="nil"/>
              <w:left w:val="nil"/>
              <w:bottom w:val="single" w:sz="4" w:space="0" w:color="366092"/>
              <w:right w:val="single" w:sz="8" w:space="0" w:color="366092"/>
            </w:tcBorders>
            <w:shd w:val="clear" w:color="000000" w:fill="FFFFFF"/>
            <w:vAlign w:val="center"/>
            <w:hideMark/>
          </w:tcPr>
          <w:p w:rsidR="00081FE7" w:rsidRPr="00081FE7" w:rsidRDefault="00CF42F1" w:rsidP="00A03FD7">
            <w:pPr>
              <w:rPr>
                <w:rFonts w:ascii="Cambria" w:hAnsi="Cambria" w:cs="Calibri"/>
                <w:sz w:val="18"/>
                <w:szCs w:val="18"/>
              </w:rPr>
            </w:pPr>
            <w:r w:rsidRPr="00CF42F1">
              <w:rPr>
                <w:rFonts w:ascii="Cambria" w:hAnsi="Cambria" w:cs="Calibri"/>
                <w:sz w:val="18"/>
                <w:szCs w:val="18"/>
              </w:rPr>
              <w:t>Oficina Asesora de Planeación</w:t>
            </w:r>
          </w:p>
        </w:tc>
        <w:tc>
          <w:tcPr>
            <w:tcW w:w="1276" w:type="dxa"/>
            <w:tcBorders>
              <w:top w:val="nil"/>
              <w:left w:val="nil"/>
              <w:bottom w:val="single" w:sz="4"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31-Ene-202</w:t>
            </w:r>
            <w:r w:rsidR="00CF42F1">
              <w:rPr>
                <w:rFonts w:ascii="Cambria" w:hAnsi="Cambria" w:cs="Calibri"/>
                <w:sz w:val="18"/>
                <w:szCs w:val="18"/>
              </w:rPr>
              <w:t>3</w:t>
            </w:r>
          </w:p>
        </w:tc>
      </w:tr>
      <w:tr w:rsidR="00081FE7" w:rsidRPr="00081FE7" w:rsidTr="00C6312C">
        <w:trPr>
          <w:trHeight w:val="780"/>
        </w:trPr>
        <w:tc>
          <w:tcPr>
            <w:tcW w:w="1691"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cs="Calibri"/>
                <w:sz w:val="18"/>
                <w:szCs w:val="18"/>
              </w:rPr>
            </w:pPr>
          </w:p>
        </w:tc>
        <w:tc>
          <w:tcPr>
            <w:tcW w:w="56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2.4</w:t>
            </w:r>
          </w:p>
        </w:tc>
        <w:tc>
          <w:tcPr>
            <w:tcW w:w="297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Actualizar el Mapa de Riesgos de Corrupción con base en la nueva guía de administración de riesgos</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Mapa de Riesgos de Corrupción actualizado</w:t>
            </w:r>
          </w:p>
        </w:tc>
        <w:tc>
          <w:tcPr>
            <w:tcW w:w="1843"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Todas las áreas</w:t>
            </w:r>
          </w:p>
        </w:tc>
        <w:tc>
          <w:tcPr>
            <w:tcW w:w="1276"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31-Ago-202</w:t>
            </w:r>
            <w:r w:rsidR="00CF42F1">
              <w:rPr>
                <w:rFonts w:ascii="Cambria" w:hAnsi="Cambria" w:cs="Calibri"/>
                <w:sz w:val="18"/>
                <w:szCs w:val="18"/>
              </w:rPr>
              <w:t>3</w:t>
            </w:r>
          </w:p>
        </w:tc>
      </w:tr>
      <w:tr w:rsidR="00081FE7" w:rsidRPr="00081FE7" w:rsidTr="00C6312C">
        <w:trPr>
          <w:trHeight w:val="765"/>
        </w:trPr>
        <w:tc>
          <w:tcPr>
            <w:tcW w:w="1691" w:type="dxa"/>
            <w:vMerge w:val="restart"/>
            <w:tcBorders>
              <w:top w:val="nil"/>
              <w:left w:val="single" w:sz="8" w:space="0" w:color="366092"/>
              <w:bottom w:val="single" w:sz="8" w:space="0" w:color="366092"/>
              <w:right w:val="single" w:sz="8" w:space="0" w:color="366092"/>
            </w:tcBorders>
            <w:shd w:val="clear" w:color="000000" w:fill="DCE6F1"/>
            <w:vAlign w:val="center"/>
            <w:hideMark/>
          </w:tcPr>
          <w:p w:rsidR="00081FE7" w:rsidRPr="00081FE7" w:rsidRDefault="00081FE7" w:rsidP="00A03FD7">
            <w:pPr>
              <w:rPr>
                <w:rFonts w:ascii="Cambria" w:hAnsi="Cambria" w:cs="Calibri"/>
                <w:sz w:val="18"/>
                <w:szCs w:val="18"/>
              </w:rPr>
            </w:pPr>
            <w:r w:rsidRPr="00081FE7">
              <w:rPr>
                <w:rFonts w:ascii="Cambria" w:hAnsi="Cambria" w:cs="Calibri"/>
                <w:b/>
                <w:bCs/>
                <w:sz w:val="18"/>
                <w:szCs w:val="18"/>
              </w:rPr>
              <w:t xml:space="preserve">Subcomponente /proceso 3                                            </w:t>
            </w:r>
            <w:r w:rsidRPr="00081FE7">
              <w:rPr>
                <w:rFonts w:ascii="Cambria" w:hAnsi="Cambria" w:cs="Calibri"/>
                <w:sz w:val="18"/>
                <w:szCs w:val="18"/>
              </w:rPr>
              <w:t xml:space="preserve"> Consulta y divulgación </w:t>
            </w:r>
          </w:p>
        </w:tc>
        <w:tc>
          <w:tcPr>
            <w:tcW w:w="567"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3.1</w:t>
            </w:r>
          </w:p>
        </w:tc>
        <w:tc>
          <w:tcPr>
            <w:tcW w:w="2977"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Socializar el Mapa de Riesgos de Corrupción a los servidores públicos de la Entidad</w:t>
            </w:r>
          </w:p>
        </w:tc>
        <w:tc>
          <w:tcPr>
            <w:tcW w:w="1559"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Mapa de Riesgos de Corrupción socializado</w:t>
            </w:r>
          </w:p>
        </w:tc>
        <w:tc>
          <w:tcPr>
            <w:tcW w:w="1843" w:type="dxa"/>
            <w:tcBorders>
              <w:top w:val="nil"/>
              <w:left w:val="nil"/>
              <w:bottom w:val="single" w:sz="4" w:space="0" w:color="366092"/>
              <w:right w:val="single" w:sz="8" w:space="0" w:color="366092"/>
            </w:tcBorders>
            <w:shd w:val="clear" w:color="000000" w:fill="FFFFFF"/>
            <w:vAlign w:val="center"/>
            <w:hideMark/>
          </w:tcPr>
          <w:p w:rsidR="00081FE7" w:rsidRPr="00081FE7" w:rsidRDefault="00CF42F1" w:rsidP="00A03FD7">
            <w:pPr>
              <w:rPr>
                <w:rFonts w:ascii="Cambria" w:hAnsi="Cambria" w:cs="Calibri"/>
                <w:sz w:val="18"/>
                <w:szCs w:val="18"/>
              </w:rPr>
            </w:pPr>
            <w:r w:rsidRPr="00CF42F1">
              <w:rPr>
                <w:rFonts w:ascii="Cambria" w:hAnsi="Cambria" w:cs="Calibri"/>
                <w:sz w:val="18"/>
                <w:szCs w:val="18"/>
              </w:rPr>
              <w:t>Oficina Asesora de Planeación y Oficina de Control Interno e Inspección</w:t>
            </w:r>
          </w:p>
        </w:tc>
        <w:tc>
          <w:tcPr>
            <w:tcW w:w="1276" w:type="dxa"/>
            <w:tcBorders>
              <w:top w:val="nil"/>
              <w:left w:val="nil"/>
              <w:bottom w:val="single" w:sz="4" w:space="0" w:color="366092"/>
              <w:right w:val="single" w:sz="8" w:space="0" w:color="366092"/>
            </w:tcBorders>
            <w:shd w:val="clear" w:color="000000" w:fill="FFFFFF"/>
            <w:noWrap/>
            <w:vAlign w:val="center"/>
            <w:hideMark/>
          </w:tcPr>
          <w:p w:rsidR="00081FE7" w:rsidRPr="00081FE7" w:rsidRDefault="00CF42F1" w:rsidP="00A03FD7">
            <w:pPr>
              <w:jc w:val="center"/>
              <w:rPr>
                <w:rFonts w:ascii="Cambria" w:hAnsi="Cambria" w:cs="Calibri"/>
                <w:sz w:val="18"/>
                <w:szCs w:val="18"/>
              </w:rPr>
            </w:pPr>
            <w:r>
              <w:rPr>
                <w:rFonts w:ascii="Cambria" w:hAnsi="Cambria" w:cs="Calibri"/>
                <w:sz w:val="18"/>
                <w:szCs w:val="18"/>
              </w:rPr>
              <w:t>30-sep-2023</w:t>
            </w:r>
          </w:p>
        </w:tc>
      </w:tr>
      <w:tr w:rsidR="00081FE7" w:rsidRPr="00081FE7" w:rsidTr="00C6312C">
        <w:trPr>
          <w:trHeight w:val="780"/>
        </w:trPr>
        <w:tc>
          <w:tcPr>
            <w:tcW w:w="1691"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cs="Calibri"/>
                <w:sz w:val="18"/>
                <w:szCs w:val="18"/>
              </w:rPr>
            </w:pPr>
          </w:p>
        </w:tc>
        <w:tc>
          <w:tcPr>
            <w:tcW w:w="56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3.2</w:t>
            </w:r>
          </w:p>
        </w:tc>
        <w:tc>
          <w:tcPr>
            <w:tcW w:w="297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Socializar el Mapa de Riesgos de Corrupción a la ciudadanía a través del sitio web</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Mapa de Riesgos de Corrupción socializado</w:t>
            </w:r>
          </w:p>
        </w:tc>
        <w:tc>
          <w:tcPr>
            <w:tcW w:w="1843" w:type="dxa"/>
            <w:tcBorders>
              <w:top w:val="nil"/>
              <w:left w:val="nil"/>
              <w:bottom w:val="single" w:sz="8" w:space="0" w:color="366092"/>
              <w:right w:val="single" w:sz="8" w:space="0" w:color="366092"/>
            </w:tcBorders>
            <w:shd w:val="clear" w:color="000000" w:fill="FFFFFF"/>
            <w:vAlign w:val="center"/>
            <w:hideMark/>
          </w:tcPr>
          <w:p w:rsidR="00081FE7" w:rsidRPr="00081FE7" w:rsidRDefault="00186328" w:rsidP="00A03FD7">
            <w:pPr>
              <w:rPr>
                <w:rFonts w:ascii="Cambria" w:hAnsi="Cambria" w:cs="Calibri"/>
                <w:sz w:val="18"/>
                <w:szCs w:val="18"/>
              </w:rPr>
            </w:pPr>
            <w:r w:rsidRPr="00CF42F1">
              <w:rPr>
                <w:rFonts w:ascii="Cambria" w:hAnsi="Cambria" w:cs="Calibri"/>
                <w:sz w:val="18"/>
                <w:szCs w:val="18"/>
              </w:rPr>
              <w:t>Oficina Asesora de Planeación</w:t>
            </w:r>
          </w:p>
        </w:tc>
        <w:tc>
          <w:tcPr>
            <w:tcW w:w="1276"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w:t>
            </w:r>
            <w:r w:rsidR="00186328">
              <w:rPr>
                <w:rFonts w:ascii="Cambria" w:hAnsi="Cambria" w:cs="Calibri"/>
                <w:sz w:val="18"/>
                <w:szCs w:val="18"/>
              </w:rPr>
              <w:t>0</w:t>
            </w:r>
            <w:r w:rsidRPr="00081FE7">
              <w:rPr>
                <w:rFonts w:ascii="Cambria" w:hAnsi="Cambria" w:cs="Calibri"/>
                <w:sz w:val="18"/>
                <w:szCs w:val="18"/>
              </w:rPr>
              <w:t>-</w:t>
            </w:r>
            <w:r w:rsidR="00186328">
              <w:rPr>
                <w:rFonts w:ascii="Cambria" w:hAnsi="Cambria" w:cs="Calibri"/>
                <w:sz w:val="18"/>
                <w:szCs w:val="18"/>
              </w:rPr>
              <w:t>sep</w:t>
            </w:r>
            <w:r w:rsidRPr="00081FE7">
              <w:rPr>
                <w:rFonts w:ascii="Cambria" w:hAnsi="Cambria" w:cs="Calibri"/>
                <w:sz w:val="18"/>
                <w:szCs w:val="18"/>
              </w:rPr>
              <w:t>-202</w:t>
            </w:r>
            <w:r w:rsidR="00186328">
              <w:rPr>
                <w:rFonts w:ascii="Cambria" w:hAnsi="Cambria" w:cs="Calibri"/>
                <w:sz w:val="18"/>
                <w:szCs w:val="18"/>
              </w:rPr>
              <w:t>3</w:t>
            </w:r>
          </w:p>
        </w:tc>
      </w:tr>
      <w:tr w:rsidR="00081FE7" w:rsidRPr="00081FE7" w:rsidTr="00C6312C">
        <w:trPr>
          <w:trHeight w:val="915"/>
        </w:trPr>
        <w:tc>
          <w:tcPr>
            <w:tcW w:w="1691" w:type="dxa"/>
            <w:tcBorders>
              <w:top w:val="single" w:sz="8" w:space="0" w:color="366092"/>
              <w:left w:val="single" w:sz="8" w:space="0" w:color="366092"/>
              <w:bottom w:val="single" w:sz="8" w:space="0" w:color="366092"/>
              <w:right w:val="single" w:sz="8" w:space="0" w:color="366092"/>
            </w:tcBorders>
            <w:shd w:val="clear" w:color="000000" w:fill="DCE6F1"/>
            <w:vAlign w:val="center"/>
            <w:hideMark/>
          </w:tcPr>
          <w:p w:rsidR="00081FE7" w:rsidRPr="00081FE7" w:rsidRDefault="00081FE7" w:rsidP="00A03FD7">
            <w:pPr>
              <w:rPr>
                <w:rFonts w:ascii="Cambria" w:hAnsi="Cambria" w:cs="Calibri"/>
                <w:sz w:val="18"/>
                <w:szCs w:val="18"/>
              </w:rPr>
            </w:pPr>
            <w:r w:rsidRPr="00081FE7">
              <w:rPr>
                <w:rFonts w:ascii="Cambria" w:hAnsi="Cambria" w:cs="Calibri"/>
                <w:b/>
                <w:bCs/>
                <w:sz w:val="18"/>
                <w:szCs w:val="18"/>
              </w:rPr>
              <w:t>Subcomponente /proceso 4</w:t>
            </w:r>
            <w:r w:rsidRPr="00081FE7">
              <w:rPr>
                <w:rFonts w:ascii="Cambria" w:hAnsi="Cambria" w:cs="Calibri"/>
                <w:sz w:val="18"/>
                <w:szCs w:val="18"/>
              </w:rPr>
              <w:t xml:space="preserve">                                           Monitoreo o revisión</w:t>
            </w:r>
          </w:p>
        </w:tc>
        <w:tc>
          <w:tcPr>
            <w:tcW w:w="567"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4.1</w:t>
            </w:r>
          </w:p>
        </w:tc>
        <w:tc>
          <w:tcPr>
            <w:tcW w:w="2977"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Monitorear periódicamente la materialización de los Riesgos de Corrupción de cada Proceso</w:t>
            </w:r>
          </w:p>
        </w:tc>
        <w:tc>
          <w:tcPr>
            <w:tcW w:w="1559"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Informe de monitoreo a la materialización de los Riesgos de Corrupción</w:t>
            </w:r>
          </w:p>
        </w:tc>
        <w:tc>
          <w:tcPr>
            <w:tcW w:w="1843" w:type="dxa"/>
            <w:tcBorders>
              <w:top w:val="nil"/>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Todas las áreas</w:t>
            </w:r>
          </w:p>
        </w:tc>
        <w:tc>
          <w:tcPr>
            <w:tcW w:w="1276" w:type="dxa"/>
            <w:tcBorders>
              <w:top w:val="nil"/>
              <w:left w:val="nil"/>
              <w:bottom w:val="single" w:sz="4"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31-Jul-202</w:t>
            </w:r>
            <w:r w:rsidR="00186328">
              <w:rPr>
                <w:rFonts w:ascii="Cambria" w:hAnsi="Cambria" w:cs="Calibri"/>
                <w:sz w:val="18"/>
                <w:szCs w:val="18"/>
              </w:rPr>
              <w:t>3</w:t>
            </w:r>
          </w:p>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31-Oct-202</w:t>
            </w:r>
            <w:r w:rsidR="00186328">
              <w:rPr>
                <w:rFonts w:ascii="Cambria" w:hAnsi="Cambria" w:cs="Calibri"/>
                <w:sz w:val="18"/>
                <w:szCs w:val="18"/>
              </w:rPr>
              <w:t>3</w:t>
            </w:r>
          </w:p>
        </w:tc>
      </w:tr>
      <w:tr w:rsidR="00081FE7" w:rsidRPr="00081FE7" w:rsidTr="00C6312C">
        <w:trPr>
          <w:trHeight w:val="1020"/>
        </w:trPr>
        <w:tc>
          <w:tcPr>
            <w:tcW w:w="1691" w:type="dxa"/>
            <w:vMerge w:val="restart"/>
            <w:tcBorders>
              <w:top w:val="single" w:sz="8" w:space="0" w:color="366092"/>
              <w:left w:val="single" w:sz="8" w:space="0" w:color="366092"/>
              <w:right w:val="single" w:sz="8" w:space="0" w:color="366092"/>
            </w:tcBorders>
            <w:shd w:val="clear" w:color="000000" w:fill="DCE6F1"/>
            <w:vAlign w:val="center"/>
            <w:hideMark/>
          </w:tcPr>
          <w:p w:rsidR="00081FE7" w:rsidRPr="00081FE7" w:rsidRDefault="00081FE7" w:rsidP="00A03FD7">
            <w:pPr>
              <w:rPr>
                <w:rFonts w:ascii="Cambria" w:hAnsi="Cambria" w:cs="Calibri"/>
                <w:sz w:val="18"/>
                <w:szCs w:val="18"/>
              </w:rPr>
            </w:pPr>
            <w:r w:rsidRPr="00081FE7">
              <w:rPr>
                <w:rFonts w:ascii="Cambria" w:hAnsi="Cambria" w:cs="Calibri"/>
                <w:b/>
                <w:bCs/>
                <w:sz w:val="18"/>
                <w:szCs w:val="18"/>
              </w:rPr>
              <w:lastRenderedPageBreak/>
              <w:t>Subcomponente/proceso 5</w:t>
            </w:r>
            <w:r w:rsidRPr="00081FE7">
              <w:rPr>
                <w:rFonts w:ascii="Cambria" w:hAnsi="Cambria" w:cs="Calibri"/>
                <w:sz w:val="18"/>
                <w:szCs w:val="18"/>
              </w:rPr>
              <w:t xml:space="preserve"> Seguimiento</w:t>
            </w:r>
          </w:p>
        </w:tc>
        <w:tc>
          <w:tcPr>
            <w:tcW w:w="567" w:type="dxa"/>
            <w:tcBorders>
              <w:top w:val="single" w:sz="8" w:space="0" w:color="366092"/>
              <w:left w:val="nil"/>
              <w:bottom w:val="single" w:sz="4"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5.1.</w:t>
            </w:r>
          </w:p>
        </w:tc>
        <w:tc>
          <w:tcPr>
            <w:tcW w:w="2977" w:type="dxa"/>
            <w:tcBorders>
              <w:top w:val="single" w:sz="8" w:space="0" w:color="366092"/>
              <w:left w:val="nil"/>
              <w:bottom w:val="single" w:sz="4"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Evaluar la implementación de la Política de Administración del Riesgo en la Entidad</w:t>
            </w:r>
          </w:p>
        </w:tc>
        <w:tc>
          <w:tcPr>
            <w:tcW w:w="1559" w:type="dxa"/>
            <w:tcBorders>
              <w:top w:val="single" w:sz="8" w:space="0" w:color="366092"/>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Informe de seguimiento a la Política de Administración del Riesgo</w:t>
            </w:r>
          </w:p>
        </w:tc>
        <w:tc>
          <w:tcPr>
            <w:tcW w:w="1843" w:type="dxa"/>
            <w:tcBorders>
              <w:top w:val="single" w:sz="8" w:space="0" w:color="366092"/>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Oficina de Control Interno</w:t>
            </w:r>
            <w:r w:rsidR="00186328">
              <w:rPr>
                <w:rFonts w:ascii="Cambria" w:hAnsi="Cambria" w:cs="Calibri"/>
                <w:sz w:val="18"/>
                <w:szCs w:val="18"/>
              </w:rPr>
              <w:t xml:space="preserve"> e Inspección</w:t>
            </w:r>
          </w:p>
        </w:tc>
        <w:tc>
          <w:tcPr>
            <w:tcW w:w="1276" w:type="dxa"/>
            <w:tcBorders>
              <w:top w:val="single" w:sz="8" w:space="0" w:color="366092"/>
              <w:left w:val="nil"/>
              <w:bottom w:val="single" w:sz="4"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31-dic-202</w:t>
            </w:r>
            <w:r w:rsidR="00186328">
              <w:rPr>
                <w:rFonts w:ascii="Cambria" w:hAnsi="Cambria" w:cs="Calibri"/>
                <w:sz w:val="18"/>
                <w:szCs w:val="18"/>
              </w:rPr>
              <w:t>3</w:t>
            </w:r>
          </w:p>
        </w:tc>
      </w:tr>
      <w:tr w:rsidR="00081FE7" w:rsidRPr="00081FE7" w:rsidTr="00C6312C">
        <w:trPr>
          <w:trHeight w:val="1020"/>
        </w:trPr>
        <w:tc>
          <w:tcPr>
            <w:tcW w:w="1691" w:type="dxa"/>
            <w:vMerge/>
            <w:tcBorders>
              <w:top w:val="single" w:sz="8" w:space="0" w:color="366092"/>
              <w:left w:val="single" w:sz="8" w:space="0" w:color="366092"/>
              <w:right w:val="single" w:sz="8" w:space="0" w:color="366092"/>
            </w:tcBorders>
            <w:shd w:val="clear" w:color="000000" w:fill="DCE6F1"/>
            <w:vAlign w:val="center"/>
          </w:tcPr>
          <w:p w:rsidR="00081FE7" w:rsidRPr="00081FE7" w:rsidRDefault="00081FE7" w:rsidP="00A03FD7">
            <w:pPr>
              <w:rPr>
                <w:rFonts w:ascii="Cambria" w:hAnsi="Cambria" w:cs="Calibri"/>
                <w:b/>
                <w:bCs/>
                <w:sz w:val="18"/>
                <w:szCs w:val="18"/>
              </w:rPr>
            </w:pPr>
          </w:p>
        </w:tc>
        <w:tc>
          <w:tcPr>
            <w:tcW w:w="567" w:type="dxa"/>
            <w:tcBorders>
              <w:top w:val="single" w:sz="8" w:space="0" w:color="366092"/>
              <w:left w:val="nil"/>
              <w:bottom w:val="single" w:sz="4" w:space="0" w:color="366092"/>
              <w:right w:val="single" w:sz="8" w:space="0" w:color="366092"/>
            </w:tcBorders>
            <w:shd w:val="clear" w:color="000000" w:fill="FFFFFF"/>
            <w:vAlign w:val="center"/>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5.2.</w:t>
            </w:r>
          </w:p>
        </w:tc>
        <w:tc>
          <w:tcPr>
            <w:tcW w:w="2977" w:type="dxa"/>
            <w:tcBorders>
              <w:top w:val="single" w:sz="8" w:space="0" w:color="366092"/>
              <w:left w:val="nil"/>
              <w:bottom w:val="single" w:sz="4" w:space="0" w:color="366092"/>
              <w:right w:val="single" w:sz="8" w:space="0" w:color="366092"/>
            </w:tcBorders>
            <w:shd w:val="clear" w:color="000000" w:fill="FFFFFF"/>
            <w:vAlign w:val="center"/>
          </w:tcPr>
          <w:p w:rsidR="00081FE7" w:rsidRPr="00081FE7" w:rsidRDefault="00081FE7" w:rsidP="00A03FD7">
            <w:pPr>
              <w:jc w:val="both"/>
              <w:rPr>
                <w:rFonts w:ascii="Cambria" w:hAnsi="Cambria" w:cs="Arial"/>
                <w:sz w:val="20"/>
                <w:szCs w:val="20"/>
              </w:rPr>
            </w:pPr>
            <w:r w:rsidRPr="00081FE7">
              <w:rPr>
                <w:rFonts w:ascii="Cambria" w:hAnsi="Cambria" w:cs="Calibri"/>
                <w:i/>
                <w:iCs/>
                <w:sz w:val="18"/>
                <w:szCs w:val="18"/>
              </w:rPr>
              <w:t>Realizar auditoría de gestión a la administración de riesgos de los procesos de la Entidad</w:t>
            </w:r>
          </w:p>
        </w:tc>
        <w:tc>
          <w:tcPr>
            <w:tcW w:w="1559" w:type="dxa"/>
            <w:tcBorders>
              <w:top w:val="single" w:sz="8" w:space="0" w:color="366092"/>
              <w:left w:val="nil"/>
              <w:bottom w:val="single" w:sz="4" w:space="0" w:color="366092"/>
              <w:right w:val="single" w:sz="8" w:space="0" w:color="366092"/>
            </w:tcBorders>
            <w:shd w:val="clear" w:color="000000" w:fill="FFFFFF"/>
            <w:vAlign w:val="center"/>
          </w:tcPr>
          <w:p w:rsidR="00081FE7" w:rsidRPr="00081FE7" w:rsidRDefault="00081FE7" w:rsidP="00A03FD7">
            <w:pPr>
              <w:rPr>
                <w:rFonts w:ascii="Cambria" w:hAnsi="Cambria" w:cs="Calibri"/>
                <w:sz w:val="18"/>
                <w:szCs w:val="18"/>
              </w:rPr>
            </w:pPr>
            <w:r w:rsidRPr="00081FE7">
              <w:rPr>
                <w:rFonts w:ascii="Cambria" w:hAnsi="Cambria" w:cs="Calibri"/>
                <w:sz w:val="18"/>
                <w:szCs w:val="18"/>
              </w:rPr>
              <w:t>Dos (2) Auditorías a la Administración de Riesgos de los Procesos</w:t>
            </w:r>
          </w:p>
        </w:tc>
        <w:tc>
          <w:tcPr>
            <w:tcW w:w="1843" w:type="dxa"/>
            <w:tcBorders>
              <w:top w:val="single" w:sz="8" w:space="0" w:color="366092"/>
              <w:left w:val="nil"/>
              <w:bottom w:val="single" w:sz="4" w:space="0" w:color="366092"/>
              <w:right w:val="single" w:sz="8" w:space="0" w:color="366092"/>
            </w:tcBorders>
            <w:shd w:val="clear" w:color="000000" w:fill="FFFFFF"/>
            <w:vAlign w:val="center"/>
          </w:tcPr>
          <w:p w:rsidR="00081FE7" w:rsidRPr="00081FE7" w:rsidRDefault="00081FE7" w:rsidP="00A03FD7">
            <w:pPr>
              <w:rPr>
                <w:rFonts w:ascii="Cambria" w:hAnsi="Cambria" w:cs="Calibri"/>
                <w:sz w:val="18"/>
                <w:szCs w:val="18"/>
              </w:rPr>
            </w:pPr>
            <w:r w:rsidRPr="00081FE7">
              <w:rPr>
                <w:rFonts w:ascii="Cambria" w:hAnsi="Cambria" w:cs="Calibri"/>
                <w:sz w:val="18"/>
                <w:szCs w:val="18"/>
              </w:rPr>
              <w:t>Oficina de Control Interno</w:t>
            </w:r>
            <w:r w:rsidR="00186328">
              <w:rPr>
                <w:rFonts w:ascii="Cambria" w:hAnsi="Cambria" w:cs="Calibri"/>
                <w:sz w:val="18"/>
                <w:szCs w:val="18"/>
              </w:rPr>
              <w:t xml:space="preserve"> e Inspección</w:t>
            </w:r>
          </w:p>
        </w:tc>
        <w:tc>
          <w:tcPr>
            <w:tcW w:w="1276" w:type="dxa"/>
            <w:tcBorders>
              <w:top w:val="single" w:sz="8" w:space="0" w:color="366092"/>
              <w:left w:val="nil"/>
              <w:bottom w:val="single" w:sz="4" w:space="0" w:color="366092"/>
              <w:right w:val="single" w:sz="8" w:space="0" w:color="366092"/>
            </w:tcBorders>
            <w:shd w:val="clear" w:color="000000" w:fill="FFFFFF"/>
            <w:noWrap/>
            <w:vAlign w:val="center"/>
          </w:tcPr>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30-Jun-202</w:t>
            </w:r>
            <w:r w:rsidR="00186328">
              <w:rPr>
                <w:rFonts w:ascii="Cambria" w:hAnsi="Cambria" w:cs="Calibri"/>
                <w:sz w:val="18"/>
                <w:szCs w:val="18"/>
              </w:rPr>
              <w:t>3</w:t>
            </w:r>
          </w:p>
          <w:p w:rsidR="00081FE7" w:rsidRPr="00081FE7" w:rsidRDefault="00081FE7" w:rsidP="00A03FD7">
            <w:pPr>
              <w:rPr>
                <w:rFonts w:ascii="Cambria" w:hAnsi="Cambria" w:cs="Calibri"/>
                <w:sz w:val="18"/>
                <w:szCs w:val="18"/>
              </w:rPr>
            </w:pPr>
          </w:p>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30-Nov-202</w:t>
            </w:r>
            <w:r w:rsidR="00186328">
              <w:rPr>
                <w:rFonts w:ascii="Cambria" w:hAnsi="Cambria" w:cs="Calibri"/>
                <w:sz w:val="18"/>
                <w:szCs w:val="18"/>
              </w:rPr>
              <w:t>3</w:t>
            </w:r>
          </w:p>
        </w:tc>
      </w:tr>
      <w:tr w:rsidR="00081FE7" w:rsidRPr="00081FE7" w:rsidTr="00C6312C">
        <w:trPr>
          <w:trHeight w:val="1035"/>
        </w:trPr>
        <w:tc>
          <w:tcPr>
            <w:tcW w:w="1691" w:type="dxa"/>
            <w:vMerge/>
            <w:tcBorders>
              <w:left w:val="single" w:sz="8" w:space="0" w:color="366092"/>
              <w:right w:val="single" w:sz="8" w:space="0" w:color="366092"/>
            </w:tcBorders>
            <w:vAlign w:val="center"/>
            <w:hideMark/>
          </w:tcPr>
          <w:p w:rsidR="00081FE7" w:rsidRPr="00081FE7" w:rsidRDefault="00081FE7" w:rsidP="00A03FD7">
            <w:pPr>
              <w:rPr>
                <w:rFonts w:ascii="Cambria" w:hAnsi="Cambria" w:cs="Calibri"/>
                <w:sz w:val="18"/>
                <w:szCs w:val="18"/>
              </w:rPr>
            </w:pPr>
          </w:p>
        </w:tc>
        <w:tc>
          <w:tcPr>
            <w:tcW w:w="567" w:type="dxa"/>
            <w:tcBorders>
              <w:top w:val="single" w:sz="4" w:space="0" w:color="366092"/>
              <w:left w:val="nil"/>
              <w:bottom w:val="single" w:sz="4"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5.3.</w:t>
            </w:r>
          </w:p>
        </w:tc>
        <w:tc>
          <w:tcPr>
            <w:tcW w:w="2977" w:type="dxa"/>
            <w:tcBorders>
              <w:top w:val="single" w:sz="4" w:space="0" w:color="366092"/>
              <w:left w:val="nil"/>
              <w:bottom w:val="single" w:sz="4"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Realizar seguimiento a la efectividad de los controles de los Riesgos de Corrupción</w:t>
            </w:r>
          </w:p>
        </w:tc>
        <w:tc>
          <w:tcPr>
            <w:tcW w:w="1559" w:type="dxa"/>
            <w:tcBorders>
              <w:top w:val="single" w:sz="4" w:space="0" w:color="366092"/>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Informes Trimestrales de seguimiento a la Efectividad de los Controles</w:t>
            </w:r>
          </w:p>
        </w:tc>
        <w:tc>
          <w:tcPr>
            <w:tcW w:w="1843" w:type="dxa"/>
            <w:tcBorders>
              <w:top w:val="single" w:sz="4" w:space="0" w:color="366092"/>
              <w:left w:val="nil"/>
              <w:bottom w:val="single" w:sz="4" w:space="0" w:color="366092"/>
              <w:right w:val="single" w:sz="8" w:space="0" w:color="366092"/>
            </w:tcBorders>
            <w:shd w:val="clear" w:color="000000" w:fill="FFFFFF"/>
            <w:vAlign w:val="center"/>
            <w:hideMark/>
          </w:tcPr>
          <w:p w:rsidR="00081FE7" w:rsidRPr="00081FE7" w:rsidRDefault="00081FE7" w:rsidP="00A03FD7">
            <w:pPr>
              <w:rPr>
                <w:rFonts w:ascii="Cambria" w:hAnsi="Cambria" w:cs="Calibri"/>
                <w:sz w:val="18"/>
                <w:szCs w:val="18"/>
              </w:rPr>
            </w:pPr>
            <w:r w:rsidRPr="00081FE7">
              <w:rPr>
                <w:rFonts w:ascii="Cambria" w:hAnsi="Cambria" w:cs="Calibri"/>
                <w:sz w:val="18"/>
                <w:szCs w:val="18"/>
              </w:rPr>
              <w:t>Todas las Áreas</w:t>
            </w:r>
          </w:p>
        </w:tc>
        <w:tc>
          <w:tcPr>
            <w:tcW w:w="1276" w:type="dxa"/>
            <w:tcBorders>
              <w:top w:val="single" w:sz="4" w:space="0" w:color="366092"/>
              <w:left w:val="nil"/>
              <w:bottom w:val="single" w:sz="4"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31-Jul-202</w:t>
            </w:r>
            <w:r w:rsidR="00186328">
              <w:rPr>
                <w:rFonts w:ascii="Cambria" w:hAnsi="Cambria" w:cs="Calibri"/>
                <w:sz w:val="18"/>
                <w:szCs w:val="18"/>
              </w:rPr>
              <w:t>3</w:t>
            </w:r>
          </w:p>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31-Oct-202</w:t>
            </w:r>
            <w:r w:rsidR="00186328">
              <w:rPr>
                <w:rFonts w:ascii="Cambria" w:hAnsi="Cambria" w:cs="Calibri"/>
                <w:sz w:val="18"/>
                <w:szCs w:val="18"/>
              </w:rPr>
              <w:t>3</w:t>
            </w:r>
          </w:p>
        </w:tc>
      </w:tr>
      <w:tr w:rsidR="00081FE7" w:rsidRPr="00081FE7" w:rsidTr="00186328">
        <w:trPr>
          <w:trHeight w:val="467"/>
        </w:trPr>
        <w:tc>
          <w:tcPr>
            <w:tcW w:w="1691" w:type="dxa"/>
            <w:vMerge/>
            <w:tcBorders>
              <w:left w:val="single" w:sz="8" w:space="0" w:color="366092"/>
              <w:bottom w:val="single" w:sz="8" w:space="0" w:color="366092"/>
              <w:right w:val="single" w:sz="8" w:space="0" w:color="366092"/>
            </w:tcBorders>
            <w:vAlign w:val="center"/>
          </w:tcPr>
          <w:p w:rsidR="00081FE7" w:rsidRPr="00081FE7" w:rsidRDefault="00081FE7" w:rsidP="00A03FD7">
            <w:pPr>
              <w:rPr>
                <w:rFonts w:ascii="Cambria" w:hAnsi="Cambria" w:cs="Calibri"/>
                <w:sz w:val="18"/>
                <w:szCs w:val="18"/>
              </w:rPr>
            </w:pPr>
          </w:p>
        </w:tc>
        <w:tc>
          <w:tcPr>
            <w:tcW w:w="567" w:type="dxa"/>
            <w:tcBorders>
              <w:top w:val="single" w:sz="4" w:space="0" w:color="366092"/>
              <w:left w:val="nil"/>
              <w:bottom w:val="single" w:sz="8" w:space="0" w:color="366092"/>
              <w:right w:val="single" w:sz="8" w:space="0" w:color="366092"/>
            </w:tcBorders>
            <w:shd w:val="clear" w:color="000000" w:fill="FFFFFF"/>
            <w:vAlign w:val="center"/>
          </w:tcPr>
          <w:p w:rsidR="00081FE7" w:rsidRPr="00081FE7" w:rsidRDefault="00081FE7" w:rsidP="00A03FD7">
            <w:pPr>
              <w:jc w:val="center"/>
              <w:rPr>
                <w:rFonts w:ascii="Cambria" w:hAnsi="Cambria" w:cs="Calibri"/>
                <w:b/>
                <w:bCs/>
                <w:sz w:val="18"/>
                <w:szCs w:val="18"/>
              </w:rPr>
            </w:pPr>
            <w:r w:rsidRPr="00081FE7">
              <w:rPr>
                <w:rFonts w:ascii="Cambria" w:hAnsi="Cambria" w:cs="Calibri"/>
                <w:b/>
                <w:bCs/>
                <w:sz w:val="18"/>
                <w:szCs w:val="18"/>
              </w:rPr>
              <w:t>5.4.</w:t>
            </w:r>
          </w:p>
        </w:tc>
        <w:tc>
          <w:tcPr>
            <w:tcW w:w="2977" w:type="dxa"/>
            <w:tcBorders>
              <w:top w:val="single" w:sz="4" w:space="0" w:color="366092"/>
              <w:left w:val="nil"/>
              <w:bottom w:val="single" w:sz="8" w:space="0" w:color="366092"/>
              <w:right w:val="single" w:sz="8" w:space="0" w:color="366092"/>
            </w:tcBorders>
            <w:shd w:val="clear" w:color="000000" w:fill="FFFFFF"/>
            <w:vAlign w:val="center"/>
          </w:tcPr>
          <w:p w:rsidR="00081FE7" w:rsidRPr="00081FE7" w:rsidRDefault="00081FE7" w:rsidP="00A03FD7">
            <w:pPr>
              <w:jc w:val="both"/>
              <w:rPr>
                <w:rFonts w:ascii="Cambria" w:hAnsi="Cambria" w:cs="Calibri"/>
                <w:i/>
                <w:iCs/>
                <w:sz w:val="18"/>
                <w:szCs w:val="18"/>
              </w:rPr>
            </w:pPr>
            <w:r w:rsidRPr="00081FE7">
              <w:rPr>
                <w:rFonts w:ascii="Cambria" w:hAnsi="Cambria" w:cs="Calibri"/>
                <w:i/>
                <w:iCs/>
                <w:sz w:val="18"/>
                <w:szCs w:val="18"/>
              </w:rPr>
              <w:t>Realizar el seguimiento a los avances del Plan de Manejo para los Riesgos de Corrupción</w:t>
            </w:r>
          </w:p>
        </w:tc>
        <w:tc>
          <w:tcPr>
            <w:tcW w:w="1559" w:type="dxa"/>
            <w:tcBorders>
              <w:top w:val="single" w:sz="4" w:space="0" w:color="366092"/>
              <w:left w:val="nil"/>
              <w:bottom w:val="single" w:sz="8" w:space="0" w:color="366092"/>
              <w:right w:val="single" w:sz="8" w:space="0" w:color="366092"/>
            </w:tcBorders>
            <w:shd w:val="clear" w:color="000000" w:fill="FFFFFF"/>
            <w:vAlign w:val="center"/>
          </w:tcPr>
          <w:p w:rsidR="00081FE7" w:rsidRPr="00081FE7" w:rsidRDefault="00081FE7" w:rsidP="00A03FD7">
            <w:pPr>
              <w:rPr>
                <w:rFonts w:ascii="Cambria" w:hAnsi="Cambria" w:cs="Calibri"/>
                <w:sz w:val="18"/>
                <w:szCs w:val="18"/>
              </w:rPr>
            </w:pPr>
            <w:r w:rsidRPr="00081FE7">
              <w:rPr>
                <w:rFonts w:ascii="Cambria" w:hAnsi="Cambria" w:cs="Calibri"/>
                <w:sz w:val="18"/>
                <w:szCs w:val="18"/>
              </w:rPr>
              <w:t>Informes Trimestrales de seguimiento al Plan de Manejo de los Riesgos de Corrupción</w:t>
            </w:r>
          </w:p>
        </w:tc>
        <w:tc>
          <w:tcPr>
            <w:tcW w:w="1843" w:type="dxa"/>
            <w:tcBorders>
              <w:top w:val="single" w:sz="4" w:space="0" w:color="366092"/>
              <w:left w:val="nil"/>
              <w:bottom w:val="single" w:sz="8" w:space="0" w:color="366092"/>
              <w:right w:val="single" w:sz="8" w:space="0" w:color="366092"/>
            </w:tcBorders>
            <w:shd w:val="clear" w:color="000000" w:fill="FFFFFF"/>
            <w:vAlign w:val="center"/>
          </w:tcPr>
          <w:p w:rsidR="00081FE7" w:rsidRPr="00081FE7" w:rsidRDefault="00081FE7" w:rsidP="00A03FD7">
            <w:pPr>
              <w:rPr>
                <w:rFonts w:ascii="Cambria" w:hAnsi="Cambria" w:cs="Calibri"/>
                <w:sz w:val="18"/>
                <w:szCs w:val="18"/>
              </w:rPr>
            </w:pPr>
            <w:r w:rsidRPr="00081FE7">
              <w:rPr>
                <w:rFonts w:ascii="Cambria" w:hAnsi="Cambria" w:cs="Calibri"/>
                <w:sz w:val="18"/>
                <w:szCs w:val="18"/>
              </w:rPr>
              <w:t xml:space="preserve">Oficina de Control Interno </w:t>
            </w:r>
            <w:r w:rsidR="00186328">
              <w:rPr>
                <w:rFonts w:ascii="Cambria" w:hAnsi="Cambria" w:cs="Calibri"/>
                <w:sz w:val="18"/>
                <w:szCs w:val="18"/>
              </w:rPr>
              <w:t xml:space="preserve">e Inspección </w:t>
            </w:r>
            <w:r w:rsidRPr="00081FE7">
              <w:rPr>
                <w:rFonts w:ascii="Cambria" w:hAnsi="Cambria" w:cs="Calibri"/>
                <w:sz w:val="18"/>
                <w:szCs w:val="18"/>
              </w:rPr>
              <w:t xml:space="preserve">y </w:t>
            </w:r>
            <w:r w:rsidR="00186328">
              <w:rPr>
                <w:rFonts w:ascii="Cambria" w:hAnsi="Cambria" w:cs="Calibri"/>
                <w:sz w:val="18"/>
                <w:szCs w:val="18"/>
              </w:rPr>
              <w:t xml:space="preserve">Oficina Asesora de </w:t>
            </w:r>
            <w:r w:rsidR="00186328" w:rsidRPr="00081FE7">
              <w:rPr>
                <w:rFonts w:ascii="Cambria" w:hAnsi="Cambria" w:cs="Calibri"/>
                <w:sz w:val="18"/>
                <w:szCs w:val="18"/>
              </w:rPr>
              <w:t>Planeación</w:t>
            </w:r>
          </w:p>
        </w:tc>
        <w:tc>
          <w:tcPr>
            <w:tcW w:w="1276" w:type="dxa"/>
            <w:tcBorders>
              <w:top w:val="single" w:sz="4" w:space="0" w:color="366092"/>
              <w:left w:val="nil"/>
              <w:bottom w:val="single" w:sz="8" w:space="0" w:color="366092"/>
              <w:right w:val="single" w:sz="8" w:space="0" w:color="366092"/>
            </w:tcBorders>
            <w:shd w:val="clear" w:color="000000" w:fill="FFFFFF"/>
            <w:noWrap/>
            <w:vAlign w:val="center"/>
          </w:tcPr>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31-Jul-202</w:t>
            </w:r>
            <w:r w:rsidR="00186328">
              <w:rPr>
                <w:rFonts w:ascii="Cambria" w:hAnsi="Cambria" w:cs="Calibri"/>
                <w:sz w:val="18"/>
                <w:szCs w:val="18"/>
              </w:rPr>
              <w:t>3</w:t>
            </w:r>
          </w:p>
          <w:p w:rsidR="00081FE7" w:rsidRPr="00081FE7" w:rsidRDefault="00081FE7" w:rsidP="00A03FD7">
            <w:pPr>
              <w:jc w:val="center"/>
              <w:rPr>
                <w:rFonts w:ascii="Cambria" w:hAnsi="Cambria" w:cs="Calibri"/>
                <w:sz w:val="18"/>
                <w:szCs w:val="18"/>
              </w:rPr>
            </w:pPr>
            <w:r w:rsidRPr="00081FE7">
              <w:rPr>
                <w:rFonts w:ascii="Cambria" w:hAnsi="Cambria" w:cs="Calibri"/>
                <w:sz w:val="18"/>
                <w:szCs w:val="18"/>
              </w:rPr>
              <w:t>31-Oct-202</w:t>
            </w:r>
            <w:r w:rsidR="00186328">
              <w:rPr>
                <w:rFonts w:ascii="Cambria" w:hAnsi="Cambria" w:cs="Calibri"/>
                <w:sz w:val="18"/>
                <w:szCs w:val="18"/>
              </w:rPr>
              <w:t>3</w:t>
            </w:r>
          </w:p>
        </w:tc>
      </w:tr>
    </w:tbl>
    <w:p w:rsidR="00081FE7" w:rsidRPr="00081FE7" w:rsidRDefault="00081FE7" w:rsidP="00081FE7">
      <w:pPr>
        <w:pStyle w:val="Sinespaciado"/>
        <w:ind w:left="0" w:right="55" w:firstLine="0"/>
      </w:pPr>
    </w:p>
    <w:p w:rsidR="00081FE7" w:rsidRPr="00081FE7" w:rsidRDefault="00081FE7" w:rsidP="00081FE7">
      <w:pPr>
        <w:pStyle w:val="Sinespaciado"/>
        <w:numPr>
          <w:ilvl w:val="1"/>
          <w:numId w:val="31"/>
        </w:numPr>
        <w:ind w:left="567" w:right="55" w:hanging="567"/>
        <w:rPr>
          <w:b/>
          <w:sz w:val="22"/>
        </w:rPr>
      </w:pPr>
      <w:r w:rsidRPr="00081FE7">
        <w:rPr>
          <w:b/>
          <w:sz w:val="22"/>
        </w:rPr>
        <w:t>RACIONALIZACIÓN DE TRÁMITES</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Teniendo en cuenta que desde el 2017, la UIAF realizó el respectivo análisis respecto de los tres (3) “</w:t>
      </w:r>
      <w:proofErr w:type="spellStart"/>
      <w:r w:rsidRPr="00081FE7">
        <w:rPr>
          <w:sz w:val="22"/>
        </w:rPr>
        <w:t>OPA’s</w:t>
      </w:r>
      <w:proofErr w:type="spellEnd"/>
      <w:r w:rsidRPr="00081FE7">
        <w:rPr>
          <w:sz w:val="22"/>
        </w:rPr>
        <w:t xml:space="preserve"> – Otros Procedimientos Administrativos” inscritos en el Sistema SUIT y, se concluyó que estos servicios no corresponden a trámites u </w:t>
      </w:r>
      <w:proofErr w:type="spellStart"/>
      <w:r w:rsidRPr="00081FE7">
        <w:rPr>
          <w:sz w:val="22"/>
        </w:rPr>
        <w:t>OPA’s</w:t>
      </w:r>
      <w:proofErr w:type="spellEnd"/>
      <w:r w:rsidRPr="00081FE7">
        <w:rPr>
          <w:sz w:val="22"/>
        </w:rPr>
        <w:t xml:space="preserve">, según las definiciones dadas por el Departamento Administrativo de la Función Pública – DAFP, a través de la Resolución 1099 del 13 de octubre de 2017 y, se tramitó a través del SUIT la solicitud al Departamento Administrativo de la Función Pública – DAFP la autorización para la eliminación del Sistema SUIT de estos tres (3) </w:t>
      </w:r>
      <w:proofErr w:type="spellStart"/>
      <w:r w:rsidRPr="00081FE7">
        <w:rPr>
          <w:sz w:val="22"/>
        </w:rPr>
        <w:t>OPA’s</w:t>
      </w:r>
      <w:proofErr w:type="spellEnd"/>
      <w:r w:rsidRPr="00081FE7">
        <w:rPr>
          <w:sz w:val="22"/>
        </w:rPr>
        <w:t>, solicitud que fue aceptada y aprobada en el mes de enero de 2018, motivo por el cual la UIAF no formula estrategia de racionalización de trámites para la vigencia 202</w:t>
      </w:r>
      <w:r w:rsidR="002B4E3C">
        <w:rPr>
          <w:sz w:val="22"/>
        </w:rPr>
        <w:t>3</w:t>
      </w:r>
      <w:r w:rsidRPr="00081FE7">
        <w:rPr>
          <w:sz w:val="22"/>
        </w:rPr>
        <w:t>.</w:t>
      </w:r>
    </w:p>
    <w:p w:rsidR="00081FE7" w:rsidRPr="00081FE7" w:rsidRDefault="00081FE7" w:rsidP="00081FE7">
      <w:pPr>
        <w:pStyle w:val="Sinespaciado"/>
        <w:ind w:left="0" w:right="55" w:firstLine="0"/>
        <w:rPr>
          <w:sz w:val="22"/>
        </w:rPr>
      </w:pPr>
    </w:p>
    <w:p w:rsidR="00081FE7" w:rsidRPr="00081FE7" w:rsidRDefault="00081FE7" w:rsidP="00081FE7">
      <w:pPr>
        <w:pStyle w:val="Sinespaciado"/>
        <w:numPr>
          <w:ilvl w:val="1"/>
          <w:numId w:val="31"/>
        </w:numPr>
        <w:ind w:left="567" w:right="55" w:hanging="567"/>
        <w:rPr>
          <w:b/>
          <w:sz w:val="22"/>
        </w:rPr>
      </w:pPr>
      <w:r w:rsidRPr="00081FE7">
        <w:rPr>
          <w:b/>
          <w:sz w:val="22"/>
        </w:rPr>
        <w:t>RENDICIÓN DE CUENTAS</w:t>
      </w:r>
    </w:p>
    <w:p w:rsidR="00081FE7" w:rsidRPr="00081FE7" w:rsidRDefault="00081FE7" w:rsidP="00081FE7">
      <w:pPr>
        <w:pStyle w:val="Sinespaciado"/>
        <w:ind w:left="0" w:right="55" w:firstLine="0"/>
        <w:rPr>
          <w:sz w:val="22"/>
        </w:rPr>
      </w:pPr>
    </w:p>
    <w:p w:rsidR="00081FE7" w:rsidRDefault="00081FE7" w:rsidP="00081FE7">
      <w:pPr>
        <w:pStyle w:val="Sinespaciado"/>
        <w:ind w:left="0" w:right="55" w:firstLine="0"/>
        <w:rPr>
          <w:sz w:val="22"/>
        </w:rPr>
      </w:pPr>
      <w:r w:rsidRPr="00081FE7">
        <w:rPr>
          <w:sz w:val="22"/>
        </w:rPr>
        <w:t>La Unidad de Información y Análisis Financiero (UIAF), comprometida con la transparencia, el buen gobierno y la lucha contra la corrupción, presenta la estrategia de Rendición de Cuentas (</w:t>
      </w:r>
      <w:proofErr w:type="spellStart"/>
      <w:r w:rsidRPr="00081FE7">
        <w:rPr>
          <w:sz w:val="22"/>
        </w:rPr>
        <w:t>RdC</w:t>
      </w:r>
      <w:proofErr w:type="spellEnd"/>
      <w:r w:rsidRPr="00081FE7">
        <w:rPr>
          <w:sz w:val="22"/>
        </w:rPr>
        <w:t>) 202</w:t>
      </w:r>
      <w:r w:rsidR="002B4E3C">
        <w:rPr>
          <w:sz w:val="22"/>
        </w:rPr>
        <w:t>3</w:t>
      </w:r>
      <w:r w:rsidRPr="00081FE7">
        <w:rPr>
          <w:sz w:val="22"/>
        </w:rPr>
        <w:t xml:space="preserve">, que recoge el plan de acción que llevará a cabo la entidad </w:t>
      </w:r>
      <w:r w:rsidRPr="00081FE7">
        <w:rPr>
          <w:sz w:val="22"/>
        </w:rPr>
        <w:lastRenderedPageBreak/>
        <w:t>para poner a disposición de la ciudadanía los avances y resultados de la gestión administrativa y misional en el último año, basada en la nueva metodología implementada por la Función Pública.</w:t>
      </w:r>
    </w:p>
    <w:p w:rsidR="002B4E3C" w:rsidRPr="00081FE7" w:rsidRDefault="002B4E3C"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De acuerdo con el Artículo 48 de la Ley 1757 de 2015, se entiende por rendición de cuentas 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 xml:space="preserve">El objetivo general de la Estrategia de Rendición de Cuentas de la UIAF, es acercar a los grupos de interés a la labor que cumple la UIAF y hacerlos partícipes de la gestión para que, de manera conjunta, se puedan optimizar los procesos de prevención y detección del lavado de activos y </w:t>
      </w:r>
      <w:r w:rsidR="00980ED7">
        <w:rPr>
          <w:sz w:val="22"/>
        </w:rPr>
        <w:t xml:space="preserve">el </w:t>
      </w:r>
      <w:r w:rsidR="002B4E3C">
        <w:rPr>
          <w:sz w:val="22"/>
        </w:rPr>
        <w:t>f</w:t>
      </w:r>
      <w:r w:rsidR="00980ED7">
        <w:rPr>
          <w:sz w:val="22"/>
        </w:rPr>
        <w:t xml:space="preserve">inanciamiento del </w:t>
      </w:r>
      <w:r w:rsidR="002B4E3C">
        <w:rPr>
          <w:sz w:val="22"/>
        </w:rPr>
        <w:t>t</w:t>
      </w:r>
      <w:r w:rsidR="00980ED7">
        <w:rPr>
          <w:sz w:val="22"/>
        </w:rPr>
        <w:t>errorismo</w:t>
      </w:r>
      <w:r w:rsidRPr="00081FE7">
        <w:rPr>
          <w:sz w:val="22"/>
        </w:rPr>
        <w:t xml:space="preserve">. </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Igualmente, fomentar el diálogo a través de la información clara sobre la proyección y cumplimiento de las metas de la entidad, y su relación directa con la promoción y la garantía de los Derechos Humanos y de los Objetivos de Desarrollo Sostenible (ODS), especialmente los objetivos 1, 8, 10, 16 y 17.</w:t>
      </w:r>
    </w:p>
    <w:p w:rsidR="00081FE7" w:rsidRPr="00081FE7" w:rsidRDefault="00081FE7" w:rsidP="00081FE7">
      <w:pPr>
        <w:pStyle w:val="Sinespaciado"/>
        <w:ind w:left="0" w:right="55" w:firstLine="0"/>
        <w:rPr>
          <w:sz w:val="22"/>
        </w:rPr>
      </w:pPr>
    </w:p>
    <w:p w:rsidR="00081FE7" w:rsidRPr="00081FE7" w:rsidRDefault="00081FE7" w:rsidP="00081FE7">
      <w:pPr>
        <w:ind w:right="55"/>
        <w:jc w:val="center"/>
        <w:rPr>
          <w:rFonts w:ascii="Cambria" w:hAnsi="Cambria" w:cs="Arial"/>
        </w:rPr>
      </w:pPr>
      <w:r w:rsidRPr="00081FE7">
        <w:rPr>
          <w:rFonts w:ascii="Cambria" w:hAnsi="Cambria"/>
          <w:noProof/>
          <w:lang w:val="es-CO" w:eastAsia="es-CO"/>
        </w:rPr>
        <w:drawing>
          <wp:inline distT="0" distB="0" distL="0" distR="0">
            <wp:extent cx="971550" cy="971550"/>
            <wp:effectExtent l="0" t="0" r="0" b="0"/>
            <wp:docPr id="18" name="Imagen 4" descr="SDG1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DG1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081FE7">
        <w:rPr>
          <w:rFonts w:ascii="Cambria" w:hAnsi="Cambria"/>
          <w:noProof/>
          <w:lang w:val="es-CO" w:eastAsia="es-CO"/>
        </w:rPr>
        <w:drawing>
          <wp:inline distT="0" distB="0" distL="0" distR="0">
            <wp:extent cx="962025" cy="962025"/>
            <wp:effectExtent l="0" t="0" r="9525" b="9525"/>
            <wp:docPr id="17" name="Imagen 1" descr="SDG8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DG8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r w:rsidRPr="00081FE7">
        <w:rPr>
          <w:rFonts w:ascii="Cambria" w:hAnsi="Cambria"/>
          <w:noProof/>
          <w:lang w:val="es-CO" w:eastAsia="es-CO"/>
        </w:rPr>
        <w:drawing>
          <wp:inline distT="0" distB="0" distL="0" distR="0">
            <wp:extent cx="971550" cy="971550"/>
            <wp:effectExtent l="0" t="0" r="0" b="0"/>
            <wp:docPr id="10" name="Imagen 6" descr="SDG10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DG10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081FE7">
        <w:rPr>
          <w:rFonts w:ascii="Cambria" w:hAnsi="Cambria"/>
          <w:noProof/>
          <w:lang w:val="es-CO" w:eastAsia="es-CO"/>
        </w:rPr>
        <w:drawing>
          <wp:inline distT="0" distB="0" distL="0" distR="0">
            <wp:extent cx="971550" cy="971550"/>
            <wp:effectExtent l="0" t="0" r="0" b="0"/>
            <wp:docPr id="9" name="Imagen 9" descr="SDG1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DG16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r w:rsidRPr="00081FE7">
        <w:rPr>
          <w:rFonts w:ascii="Cambria" w:hAnsi="Cambria"/>
          <w:noProof/>
          <w:lang w:val="es-CO" w:eastAsia="es-CO"/>
        </w:rPr>
        <w:drawing>
          <wp:inline distT="0" distB="0" distL="0" distR="0">
            <wp:extent cx="962025" cy="962025"/>
            <wp:effectExtent l="0" t="0" r="9525" b="9525"/>
            <wp:docPr id="7" name="Imagen 10" descr="SDG17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SDG17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rsidR="00081FE7" w:rsidRPr="00081FE7" w:rsidRDefault="00081FE7" w:rsidP="00081FE7">
      <w:pPr>
        <w:pStyle w:val="Sinespaciado"/>
        <w:ind w:left="0" w:right="55" w:firstLine="0"/>
        <w:rPr>
          <w:sz w:val="22"/>
        </w:rPr>
      </w:pPr>
    </w:p>
    <w:p w:rsidR="00081FE7" w:rsidRPr="00081FE7" w:rsidRDefault="00081FE7" w:rsidP="00081FE7">
      <w:pPr>
        <w:pStyle w:val="Sinespaciado"/>
        <w:numPr>
          <w:ilvl w:val="2"/>
          <w:numId w:val="31"/>
        </w:numPr>
        <w:ind w:left="567" w:right="55" w:hanging="567"/>
        <w:rPr>
          <w:b/>
          <w:sz w:val="22"/>
        </w:rPr>
      </w:pPr>
      <w:r w:rsidRPr="00081FE7">
        <w:rPr>
          <w:b/>
          <w:sz w:val="22"/>
        </w:rPr>
        <w:t>Caracterización de la entidad y sus grupos de interés</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 xml:space="preserve">Las Leyes 526 de 1999 y 1621 de 2013 establecen que la UIAF es organismo de inteligencia y contrainteligencia, cuyas funciones son las de intervenir en la economía del Estado mediante actividades de inteligencia y contrainteligencia financiera y económica, con el fin de detectar y prevenir conductas que puedan estar asociadas a los delitos de lavado de activos, o cualquiera de sus delitos fuente. </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Es importante señalar que la información que recauda, almacena, procesa y difunde esta Unidad está sujeta a una estricta reserva legal, y únicamente puede ser entregada a la Fiscalía General de la Nación, a través de las unidades con competencia para investigar el delito de lavado de activos o sus delitos fuente o con competencia para ejercer la acción de extinción de dominio.</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En ese sentido, el parágrafo del artículo 34 de la Ley 1621 de 2013, que modificó el inciso cuarto del artículo 9° de la Ley 526 de 1999, dispone lo siguiente:</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 xml:space="preserve">“ARTÍCULO 34. INOPONIBILIDAD DE LA RESERVA. (…) </w:t>
      </w:r>
    </w:p>
    <w:p w:rsidR="00081FE7" w:rsidRPr="00081FE7" w:rsidRDefault="00081FE7" w:rsidP="00081FE7">
      <w:pPr>
        <w:pStyle w:val="Sinespaciado"/>
        <w:ind w:left="0" w:right="55" w:firstLine="0"/>
        <w:rPr>
          <w:sz w:val="22"/>
        </w:rPr>
      </w:pPr>
      <w:r w:rsidRPr="00081FE7">
        <w:rPr>
          <w:sz w:val="22"/>
        </w:rPr>
        <w:t xml:space="preserve">PARÁGRAFO. Salvo lo dispuesto en el parágrafo 4o del artículo 12 de la presente ley, la inoponibilidad de la reserva en el caso de la UIAF estará regulada de manera especial por el inciso 4o del artículo 9o de la Ley 526 de 1999, el cual quedará así: “La información que recaude la UIAF en cumplimiento de sus funciones y la que se produzca como resultado de su análisis estará sujeta a reserva, salvo que medie solicitud de las fiscalías con expresas funciones legales para investigar lavado de activos o sus delitos fuente, financiación del terrorismo y/o legitimadas para ejercitar la acción de extinción de dominio quienes deberán mantener la reserva aquí prevista.”  </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 xml:space="preserve">No obstante, dado su carácter de entidad pública, obedece a los lineamientos de la Función Pública en lo relativo a la transparencia y acceso a la información, concretamente en cuanto a la gestión se refiere, más no, en lo relacionado a la información de carácter reservado. </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b/>
          <w:sz w:val="22"/>
        </w:rPr>
      </w:pPr>
      <w:r w:rsidRPr="00081FE7">
        <w:rPr>
          <w:b/>
          <w:sz w:val="22"/>
        </w:rPr>
        <w:t>Grupos de Interés:</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right="55"/>
        <w:rPr>
          <w:sz w:val="22"/>
        </w:rPr>
      </w:pPr>
      <w:r w:rsidRPr="00081FE7">
        <w:rPr>
          <w:sz w:val="22"/>
        </w:rPr>
        <w:t>Son los remitentes y destinatarios directos de las actividades o servicios que presta y/o realiza la UIAF, entre los cuales se identifican los actores del sistema ALA/CFT</w:t>
      </w:r>
      <w:r w:rsidR="00EC6D6E">
        <w:rPr>
          <w:sz w:val="22"/>
        </w:rPr>
        <w:t>/CFP</w:t>
      </w:r>
      <w:r w:rsidRPr="00081FE7">
        <w:rPr>
          <w:sz w:val="22"/>
        </w:rPr>
        <w:t>. Se identifica una cadena de información en donde cada uno de los actores interactúa con la Unidad en el cumplimiento de su misión.</w:t>
      </w:r>
    </w:p>
    <w:p w:rsidR="00081FE7" w:rsidRPr="00081FE7" w:rsidRDefault="00081FE7" w:rsidP="00081FE7">
      <w:pPr>
        <w:pStyle w:val="Sinespaciado"/>
        <w:ind w:right="55"/>
        <w:rPr>
          <w:sz w:val="22"/>
        </w:rPr>
      </w:pPr>
    </w:p>
    <w:p w:rsidR="00081FE7" w:rsidRPr="00081FE7" w:rsidRDefault="00081FE7" w:rsidP="00081FE7">
      <w:pPr>
        <w:pStyle w:val="Sinespaciado"/>
        <w:ind w:left="0" w:right="55" w:firstLine="0"/>
        <w:rPr>
          <w:sz w:val="22"/>
        </w:rPr>
      </w:pPr>
      <w:r w:rsidRPr="00081FE7">
        <w:rPr>
          <w:sz w:val="22"/>
        </w:rPr>
        <w:t>El objetivo es mejorar el flujo de información y la retroalimentación para optimizar los procesos de cada uno de los actores del sistema, de forma tal que la cadena de prevención, detección, investigación y judicialización, mejore la efectividad y el impacto frente al desmantelamiento de las redes de crimen organizado.</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 xml:space="preserve">Como entidad cardinal para el Sistema Antilavado de Activos y Contra </w:t>
      </w:r>
      <w:r w:rsidR="00980ED7">
        <w:rPr>
          <w:sz w:val="22"/>
        </w:rPr>
        <w:t>el Financiamiento del Terrorismo</w:t>
      </w:r>
      <w:r w:rsidRPr="00081FE7">
        <w:rPr>
          <w:sz w:val="22"/>
        </w:rPr>
        <w:t xml:space="preserve"> (ALA/CFT</w:t>
      </w:r>
      <w:r w:rsidR="00EC6D6E">
        <w:rPr>
          <w:sz w:val="22"/>
        </w:rPr>
        <w:t>/CFP</w:t>
      </w:r>
      <w:r w:rsidRPr="00081FE7">
        <w:rPr>
          <w:sz w:val="22"/>
        </w:rPr>
        <w:t>), entre su público de interés, la UIAF cuenta con los siguientes grupos:</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jc w:val="center"/>
        <w:rPr>
          <w:sz w:val="22"/>
        </w:rPr>
      </w:pPr>
    </w:p>
    <w:p w:rsidR="00081FE7" w:rsidRPr="00081FE7" w:rsidRDefault="00081FE7" w:rsidP="00081FE7">
      <w:pPr>
        <w:pStyle w:val="Sinespaciado"/>
        <w:ind w:left="0" w:right="55" w:firstLine="0"/>
        <w:jc w:val="center"/>
        <w:rPr>
          <w:sz w:val="22"/>
        </w:rPr>
      </w:pPr>
      <w:r w:rsidRPr="00081FE7">
        <w:rPr>
          <w:noProof/>
          <w:sz w:val="22"/>
        </w:rPr>
        <w:lastRenderedPageBreak/>
        <w:drawing>
          <wp:inline distT="0" distB="0" distL="0" distR="0">
            <wp:extent cx="4849001" cy="2514600"/>
            <wp:effectExtent l="0" t="0" r="889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5023" cy="2517723"/>
                    </a:xfrm>
                    <a:prstGeom prst="rect">
                      <a:avLst/>
                    </a:prstGeom>
                    <a:noFill/>
                    <a:ln>
                      <a:noFill/>
                    </a:ln>
                  </pic:spPr>
                </pic:pic>
              </a:graphicData>
            </a:graphic>
          </wp:inline>
        </w:drawing>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En el caso de la UIAF, son los remitentes y destinatarios directos de las actividades o servicios que presta y/o realiza la entidad, entre los cuales se identifican:</w:t>
      </w:r>
    </w:p>
    <w:p w:rsidR="00081FE7" w:rsidRPr="00081FE7" w:rsidRDefault="00081FE7" w:rsidP="00081FE7">
      <w:pPr>
        <w:pStyle w:val="Sinespaciado"/>
        <w:ind w:left="0" w:right="55" w:firstLine="0"/>
        <w:rPr>
          <w:sz w:val="22"/>
        </w:rPr>
      </w:pPr>
    </w:p>
    <w:p w:rsidR="00081FE7" w:rsidRPr="00081FE7" w:rsidRDefault="00081FE7" w:rsidP="00081FE7">
      <w:pPr>
        <w:pStyle w:val="Sinespaciado"/>
        <w:numPr>
          <w:ilvl w:val="0"/>
          <w:numId w:val="47"/>
        </w:numPr>
        <w:ind w:left="284" w:right="55" w:hanging="284"/>
        <w:rPr>
          <w:sz w:val="22"/>
        </w:rPr>
      </w:pPr>
      <w:r w:rsidRPr="00081FE7">
        <w:rPr>
          <w:sz w:val="22"/>
        </w:rPr>
        <w:t>Sujetos obligados a reportar</w:t>
      </w:r>
    </w:p>
    <w:p w:rsidR="00081FE7" w:rsidRPr="00081FE7" w:rsidRDefault="00081FE7" w:rsidP="00081FE7">
      <w:pPr>
        <w:pStyle w:val="Sinespaciado"/>
        <w:numPr>
          <w:ilvl w:val="0"/>
          <w:numId w:val="47"/>
        </w:numPr>
        <w:ind w:left="284" w:right="55" w:hanging="284"/>
        <w:rPr>
          <w:sz w:val="22"/>
        </w:rPr>
      </w:pPr>
      <w:r w:rsidRPr="00081FE7">
        <w:rPr>
          <w:sz w:val="22"/>
        </w:rPr>
        <w:t>Personas naturales extrajeras</w:t>
      </w:r>
    </w:p>
    <w:p w:rsidR="00081FE7" w:rsidRPr="00081FE7" w:rsidRDefault="00081FE7" w:rsidP="00081FE7">
      <w:pPr>
        <w:pStyle w:val="Sinespaciado"/>
        <w:numPr>
          <w:ilvl w:val="0"/>
          <w:numId w:val="47"/>
        </w:numPr>
        <w:ind w:left="284" w:right="55" w:hanging="284"/>
        <w:rPr>
          <w:sz w:val="22"/>
        </w:rPr>
      </w:pPr>
      <w:r w:rsidRPr="00081FE7">
        <w:rPr>
          <w:sz w:val="22"/>
        </w:rPr>
        <w:t>Personas naturales nacionales</w:t>
      </w:r>
    </w:p>
    <w:p w:rsidR="00081FE7" w:rsidRPr="00081FE7" w:rsidRDefault="00081FE7" w:rsidP="00081FE7">
      <w:pPr>
        <w:pStyle w:val="Sinespaciado"/>
        <w:numPr>
          <w:ilvl w:val="0"/>
          <w:numId w:val="47"/>
        </w:numPr>
        <w:ind w:left="284" w:right="55" w:hanging="284"/>
        <w:rPr>
          <w:sz w:val="22"/>
        </w:rPr>
      </w:pPr>
      <w:r w:rsidRPr="00081FE7">
        <w:rPr>
          <w:sz w:val="22"/>
        </w:rPr>
        <w:t>Organismos internacionales</w:t>
      </w:r>
    </w:p>
    <w:p w:rsidR="00081FE7" w:rsidRPr="00081FE7" w:rsidRDefault="00081FE7" w:rsidP="00081FE7">
      <w:pPr>
        <w:pStyle w:val="Sinespaciado"/>
        <w:numPr>
          <w:ilvl w:val="0"/>
          <w:numId w:val="47"/>
        </w:numPr>
        <w:ind w:left="284" w:right="55" w:hanging="284"/>
        <w:rPr>
          <w:sz w:val="22"/>
        </w:rPr>
      </w:pPr>
      <w:r w:rsidRPr="00081FE7">
        <w:rPr>
          <w:sz w:val="22"/>
        </w:rPr>
        <w:t>Unidades de Información Financiera – UIF</w:t>
      </w:r>
    </w:p>
    <w:p w:rsidR="00081FE7" w:rsidRPr="00081FE7" w:rsidRDefault="00081FE7" w:rsidP="00081FE7">
      <w:pPr>
        <w:pStyle w:val="Sinespaciado"/>
        <w:numPr>
          <w:ilvl w:val="0"/>
          <w:numId w:val="47"/>
        </w:numPr>
        <w:ind w:left="284" w:right="55" w:hanging="284"/>
        <w:rPr>
          <w:sz w:val="22"/>
        </w:rPr>
      </w:pPr>
      <w:r w:rsidRPr="00081FE7">
        <w:rPr>
          <w:sz w:val="22"/>
        </w:rPr>
        <w:t>Entidades públicas del orden nacional y territorial</w:t>
      </w:r>
      <w:r w:rsidRPr="00081FE7">
        <w:rPr>
          <w:sz w:val="22"/>
        </w:rPr>
        <w:tab/>
      </w:r>
    </w:p>
    <w:p w:rsidR="00081FE7" w:rsidRPr="00081FE7" w:rsidRDefault="00081FE7" w:rsidP="00081FE7">
      <w:pPr>
        <w:pStyle w:val="Sinespaciado"/>
        <w:numPr>
          <w:ilvl w:val="0"/>
          <w:numId w:val="47"/>
        </w:numPr>
        <w:ind w:left="284" w:right="55" w:hanging="284"/>
        <w:rPr>
          <w:sz w:val="22"/>
        </w:rPr>
      </w:pPr>
      <w:r w:rsidRPr="00081FE7">
        <w:rPr>
          <w:sz w:val="22"/>
        </w:rPr>
        <w:t>Organizaciones del sector privado</w:t>
      </w:r>
    </w:p>
    <w:p w:rsidR="00081FE7" w:rsidRPr="00081FE7" w:rsidRDefault="00081FE7" w:rsidP="00081FE7">
      <w:pPr>
        <w:pStyle w:val="Sinespaciado"/>
        <w:numPr>
          <w:ilvl w:val="0"/>
          <w:numId w:val="47"/>
        </w:numPr>
        <w:ind w:left="284" w:right="55" w:hanging="284"/>
        <w:rPr>
          <w:sz w:val="22"/>
        </w:rPr>
      </w:pPr>
      <w:r w:rsidRPr="00081FE7">
        <w:rPr>
          <w:sz w:val="22"/>
        </w:rPr>
        <w:t>Rama judicial</w:t>
      </w:r>
    </w:p>
    <w:p w:rsidR="00081FE7" w:rsidRPr="00081FE7" w:rsidRDefault="00081FE7" w:rsidP="00081FE7">
      <w:pPr>
        <w:pStyle w:val="Sinespaciado"/>
        <w:numPr>
          <w:ilvl w:val="0"/>
          <w:numId w:val="47"/>
        </w:numPr>
        <w:ind w:left="284" w:right="55" w:hanging="284"/>
        <w:rPr>
          <w:sz w:val="22"/>
        </w:rPr>
      </w:pPr>
      <w:r w:rsidRPr="00081FE7">
        <w:rPr>
          <w:sz w:val="22"/>
        </w:rPr>
        <w:t>Embajadas</w:t>
      </w:r>
    </w:p>
    <w:p w:rsidR="00081FE7" w:rsidRPr="00081FE7" w:rsidRDefault="00081FE7" w:rsidP="00081FE7">
      <w:pPr>
        <w:pStyle w:val="Sinespaciado"/>
        <w:numPr>
          <w:ilvl w:val="0"/>
          <w:numId w:val="47"/>
        </w:numPr>
        <w:ind w:left="284" w:right="55" w:hanging="284"/>
        <w:rPr>
          <w:sz w:val="22"/>
        </w:rPr>
      </w:pPr>
      <w:r w:rsidRPr="00081FE7">
        <w:rPr>
          <w:sz w:val="22"/>
        </w:rPr>
        <w:t>Medios de comunicación (económicos y judiciales)</w:t>
      </w:r>
    </w:p>
    <w:p w:rsidR="00081FE7" w:rsidRPr="00081FE7" w:rsidRDefault="00081FE7" w:rsidP="00081FE7">
      <w:pPr>
        <w:pStyle w:val="Sinespaciado"/>
        <w:numPr>
          <w:ilvl w:val="0"/>
          <w:numId w:val="47"/>
        </w:numPr>
        <w:ind w:left="284" w:right="55" w:hanging="284"/>
        <w:rPr>
          <w:sz w:val="22"/>
        </w:rPr>
      </w:pPr>
      <w:r w:rsidRPr="00081FE7">
        <w:rPr>
          <w:sz w:val="22"/>
        </w:rPr>
        <w:t>Gremios</w:t>
      </w:r>
    </w:p>
    <w:p w:rsidR="00081FE7" w:rsidRPr="00081FE7" w:rsidRDefault="00081FE7" w:rsidP="00081FE7">
      <w:pPr>
        <w:pStyle w:val="Sinespaciado"/>
        <w:ind w:left="0" w:right="55" w:firstLine="0"/>
        <w:rPr>
          <w:sz w:val="22"/>
        </w:rPr>
      </w:pPr>
    </w:p>
    <w:p w:rsidR="00081FE7" w:rsidRPr="00081FE7" w:rsidRDefault="00081FE7" w:rsidP="00081FE7">
      <w:pPr>
        <w:pStyle w:val="Sinespaciado"/>
        <w:numPr>
          <w:ilvl w:val="2"/>
          <w:numId w:val="31"/>
        </w:numPr>
        <w:ind w:left="567" w:right="55" w:hanging="567"/>
        <w:rPr>
          <w:b/>
          <w:sz w:val="22"/>
        </w:rPr>
      </w:pPr>
      <w:r w:rsidRPr="00081FE7">
        <w:rPr>
          <w:b/>
          <w:sz w:val="22"/>
        </w:rPr>
        <w:t>Metodología a desarrollar para la rendición de cuentas 202</w:t>
      </w:r>
      <w:r w:rsidR="006719F5">
        <w:rPr>
          <w:b/>
          <w:sz w:val="22"/>
        </w:rPr>
        <w:t>3</w:t>
      </w:r>
    </w:p>
    <w:p w:rsidR="00081FE7" w:rsidRPr="00081FE7" w:rsidRDefault="00081FE7" w:rsidP="00081FE7">
      <w:pPr>
        <w:pStyle w:val="Sinespaciado"/>
        <w:ind w:left="0" w:right="55" w:firstLine="0"/>
        <w:rPr>
          <w:sz w:val="22"/>
        </w:rPr>
      </w:pPr>
    </w:p>
    <w:p w:rsidR="00081FE7" w:rsidRPr="006719F5" w:rsidRDefault="00081FE7" w:rsidP="00081FE7">
      <w:pPr>
        <w:pStyle w:val="Sinespaciado"/>
        <w:ind w:left="0" w:right="55" w:firstLine="0"/>
        <w:rPr>
          <w:sz w:val="22"/>
          <w:highlight w:val="yellow"/>
        </w:rPr>
      </w:pPr>
      <w:r w:rsidRPr="006719F5">
        <w:rPr>
          <w:sz w:val="22"/>
          <w:highlight w:val="yellow"/>
        </w:rPr>
        <w:t xml:space="preserve">Teniendo en cuenta la actual coyuntura que aún se presenta por la pandemia, la UIAF propone realizar la </w:t>
      </w:r>
      <w:proofErr w:type="spellStart"/>
      <w:r w:rsidRPr="006719F5">
        <w:rPr>
          <w:sz w:val="22"/>
          <w:highlight w:val="yellow"/>
        </w:rPr>
        <w:t>RdC</w:t>
      </w:r>
      <w:proofErr w:type="spellEnd"/>
      <w:r w:rsidRPr="006719F5">
        <w:rPr>
          <w:sz w:val="22"/>
          <w:highlight w:val="yellow"/>
        </w:rPr>
        <w:t xml:space="preserve"> de 2022 a través de varios espacios de encuentro virtuales. Esto incluye una audiencia general que se realizará en la primera semana de diciembre de 2022 y como complemento, los Foros UIAF que mantienen un diálogo permanente con los casi 22 mil reportantes de todos los sectores, así como con los gremios y supervisores, abarcando en ellos un gran porcentaje de los grupos de valor de la Unidad. </w:t>
      </w:r>
    </w:p>
    <w:p w:rsidR="00081FE7" w:rsidRPr="00081FE7" w:rsidRDefault="00081FE7" w:rsidP="00081FE7">
      <w:pPr>
        <w:pStyle w:val="Sinespaciado"/>
        <w:ind w:left="0" w:right="55" w:firstLine="0"/>
        <w:rPr>
          <w:sz w:val="22"/>
          <w:highlight w:val="yellow"/>
        </w:rPr>
      </w:pPr>
    </w:p>
    <w:p w:rsidR="00081FE7" w:rsidRPr="006719F5" w:rsidRDefault="00081FE7" w:rsidP="00081FE7">
      <w:pPr>
        <w:pStyle w:val="Sinespaciado"/>
        <w:ind w:right="55"/>
        <w:rPr>
          <w:b/>
          <w:sz w:val="22"/>
          <w:highlight w:val="yellow"/>
        </w:rPr>
      </w:pPr>
      <w:r w:rsidRPr="006719F5">
        <w:rPr>
          <w:b/>
          <w:sz w:val="22"/>
          <w:highlight w:val="yellow"/>
        </w:rPr>
        <w:lastRenderedPageBreak/>
        <w:t>Audiencia virtual de Rendición de Cuentas</w:t>
      </w:r>
    </w:p>
    <w:p w:rsidR="00081FE7" w:rsidRPr="006719F5" w:rsidRDefault="00081FE7" w:rsidP="00081FE7">
      <w:pPr>
        <w:pStyle w:val="Sinespaciado"/>
        <w:ind w:right="55"/>
        <w:rPr>
          <w:b/>
          <w:sz w:val="22"/>
          <w:highlight w:val="yellow"/>
        </w:rPr>
      </w:pPr>
    </w:p>
    <w:p w:rsidR="00081FE7" w:rsidRPr="006719F5" w:rsidRDefault="00081FE7" w:rsidP="00081FE7">
      <w:pPr>
        <w:pStyle w:val="Sinespaciado"/>
        <w:ind w:left="0" w:right="55" w:firstLine="0"/>
        <w:rPr>
          <w:sz w:val="22"/>
          <w:highlight w:val="yellow"/>
        </w:rPr>
      </w:pPr>
      <w:r w:rsidRPr="006719F5">
        <w:rPr>
          <w:sz w:val="22"/>
          <w:highlight w:val="yellow"/>
        </w:rPr>
        <w:t xml:space="preserve">La UIAF realizará un evento virtual que convocará a todos los grupos de valor, incluyendo a la ciudadanía, en un espacio de diálogo a través de Facebook Live. Los participantes podrán enviar sus preguntas a través de las redes sociales y del correo electrónico </w:t>
      </w:r>
      <w:proofErr w:type="spellStart"/>
      <w:r w:rsidRPr="006719F5">
        <w:rPr>
          <w:sz w:val="22"/>
          <w:highlight w:val="yellow"/>
        </w:rPr>
        <w:t>rendiciondecuentas@uiaf.gov.vo</w:t>
      </w:r>
      <w:proofErr w:type="spellEnd"/>
      <w:r w:rsidRPr="006719F5">
        <w:rPr>
          <w:sz w:val="22"/>
          <w:highlight w:val="yellow"/>
        </w:rPr>
        <w:t xml:space="preserve"> las cuales serán respondidas al finalizar el evento.</w:t>
      </w:r>
    </w:p>
    <w:p w:rsidR="00081FE7" w:rsidRPr="00081FE7" w:rsidRDefault="00081FE7" w:rsidP="00081FE7">
      <w:pPr>
        <w:pStyle w:val="Sinespaciado"/>
        <w:ind w:left="0" w:right="55" w:firstLine="0"/>
        <w:rPr>
          <w:sz w:val="22"/>
          <w:highlight w:val="yellow"/>
        </w:rPr>
      </w:pPr>
    </w:p>
    <w:p w:rsidR="00081FE7" w:rsidRPr="00081FE7" w:rsidRDefault="00081FE7" w:rsidP="00081FE7">
      <w:pPr>
        <w:pStyle w:val="Sinespaciado"/>
        <w:ind w:left="0" w:right="55" w:firstLine="0"/>
        <w:rPr>
          <w:sz w:val="22"/>
          <w:highlight w:val="yellow"/>
        </w:rPr>
      </w:pPr>
      <w:r w:rsidRPr="00081FE7">
        <w:rPr>
          <w:b/>
          <w:sz w:val="22"/>
        </w:rPr>
        <w:t>Foros virtuales UIAF:</w:t>
      </w:r>
      <w:r w:rsidRPr="00081FE7">
        <w:rPr>
          <w:sz w:val="22"/>
        </w:rPr>
        <w:t xml:space="preserve"> un diálogo permanente con los sectores</w:t>
      </w:r>
    </w:p>
    <w:p w:rsidR="00081FE7" w:rsidRPr="00081FE7" w:rsidRDefault="00081FE7" w:rsidP="00081FE7">
      <w:pPr>
        <w:pStyle w:val="Sinespaciado"/>
        <w:ind w:left="0" w:right="55" w:firstLine="0"/>
        <w:rPr>
          <w:sz w:val="22"/>
          <w:highlight w:val="yellow"/>
        </w:rPr>
      </w:pPr>
    </w:p>
    <w:p w:rsidR="00081FE7" w:rsidRPr="00081FE7" w:rsidRDefault="00081FE7" w:rsidP="00081FE7">
      <w:pPr>
        <w:pStyle w:val="Sinespaciado"/>
        <w:ind w:left="0" w:right="55" w:firstLine="0"/>
        <w:jc w:val="center"/>
        <w:rPr>
          <w:sz w:val="22"/>
          <w:highlight w:val="yellow"/>
        </w:rPr>
      </w:pPr>
      <w:r w:rsidRPr="00081FE7">
        <w:rPr>
          <w:rFonts w:cs="Arial"/>
          <w:noProof/>
          <w:color w:val="4472C4"/>
        </w:rPr>
        <w:drawing>
          <wp:inline distT="0" distB="0" distL="0" distR="0">
            <wp:extent cx="2924175" cy="762000"/>
            <wp:effectExtent l="0" t="0" r="9525"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762000"/>
                    </a:xfrm>
                    <a:prstGeom prst="rect">
                      <a:avLst/>
                    </a:prstGeom>
                    <a:noFill/>
                    <a:ln>
                      <a:noFill/>
                    </a:ln>
                  </pic:spPr>
                </pic:pic>
              </a:graphicData>
            </a:graphic>
          </wp:inline>
        </w:drawing>
      </w:r>
    </w:p>
    <w:p w:rsidR="00081FE7" w:rsidRPr="00081FE7" w:rsidRDefault="00081FE7" w:rsidP="00081FE7">
      <w:pPr>
        <w:pStyle w:val="Sinespaciado"/>
        <w:ind w:left="0" w:right="55" w:firstLine="0"/>
        <w:rPr>
          <w:sz w:val="22"/>
          <w:highlight w:val="yellow"/>
        </w:rPr>
      </w:pPr>
    </w:p>
    <w:p w:rsidR="00081FE7" w:rsidRPr="00081FE7" w:rsidRDefault="00081FE7" w:rsidP="00081FE7">
      <w:pPr>
        <w:pStyle w:val="Sinespaciado"/>
        <w:ind w:right="55"/>
        <w:rPr>
          <w:sz w:val="22"/>
        </w:rPr>
      </w:pPr>
      <w:r w:rsidRPr="00081FE7">
        <w:rPr>
          <w:sz w:val="22"/>
        </w:rPr>
        <w:t xml:space="preserve">Pensando en una manera novedosa y eficaz de llegar a nuestro público objetivo en el marco de los espacios de rendición de cuentas, la Unidad de Información y Análisis Financiero puso en marcha en 2019 los Foros virtuales UIAF, un espacio de encuentro y retroalimentación que permite un mayor acercamiento a los grupos de valor para contarles las acciones de la entidad para prevenir y detectar el lavado de activos.  </w:t>
      </w:r>
    </w:p>
    <w:p w:rsidR="00081FE7" w:rsidRPr="00081FE7" w:rsidRDefault="00081FE7" w:rsidP="00081FE7">
      <w:pPr>
        <w:pStyle w:val="Sinespaciado"/>
        <w:ind w:right="55"/>
        <w:rPr>
          <w:sz w:val="22"/>
        </w:rPr>
      </w:pPr>
    </w:p>
    <w:p w:rsidR="00081FE7" w:rsidRPr="00081FE7" w:rsidRDefault="00081FE7" w:rsidP="00081FE7">
      <w:pPr>
        <w:pStyle w:val="Sinespaciado"/>
        <w:ind w:right="55"/>
        <w:rPr>
          <w:sz w:val="22"/>
        </w:rPr>
      </w:pPr>
      <w:r w:rsidRPr="00081FE7">
        <w:rPr>
          <w:sz w:val="22"/>
        </w:rPr>
        <w:t xml:space="preserve">A través de la herramienta </w:t>
      </w:r>
      <w:proofErr w:type="spellStart"/>
      <w:r w:rsidRPr="00081FE7">
        <w:rPr>
          <w:sz w:val="22"/>
        </w:rPr>
        <w:t>Rocket</w:t>
      </w:r>
      <w:proofErr w:type="spellEnd"/>
      <w:r w:rsidRPr="00081FE7">
        <w:rPr>
          <w:sz w:val="22"/>
        </w:rPr>
        <w:t xml:space="preserve"> chat, creada por la UIAF para este fin, la Unidad escucha las propuestas de los participantes para generar un plan de acción conjunto que nos permita proteger la economía nacional de la penetración de dineros de origen ilícito. </w:t>
      </w:r>
    </w:p>
    <w:p w:rsidR="00081FE7" w:rsidRPr="00081FE7" w:rsidRDefault="00081FE7" w:rsidP="00081FE7">
      <w:pPr>
        <w:pStyle w:val="Sinespaciado"/>
        <w:ind w:right="55"/>
        <w:rPr>
          <w:sz w:val="22"/>
        </w:rPr>
      </w:pPr>
    </w:p>
    <w:p w:rsidR="00081FE7" w:rsidRPr="00081FE7" w:rsidRDefault="00081FE7" w:rsidP="00081FE7">
      <w:pPr>
        <w:pStyle w:val="Sinespaciado"/>
        <w:ind w:left="0" w:right="55" w:firstLine="0"/>
        <w:rPr>
          <w:sz w:val="22"/>
          <w:highlight w:val="yellow"/>
        </w:rPr>
      </w:pPr>
      <w:r w:rsidRPr="00081FE7">
        <w:rPr>
          <w:sz w:val="22"/>
        </w:rPr>
        <w:t>Para ello, la UIAF realiza una convocatoria mensual en donde explica los temas a tratar en el foro y el público invitado. Los participantes se registran previamente y acuden a la cita virtual en donde pueden dialogar en tiempo real con el Director de la UIAF y su equipo de analistas y ver videos explicativos sobre los temas abordados.</w:t>
      </w:r>
    </w:p>
    <w:p w:rsidR="00081FE7" w:rsidRPr="00081FE7" w:rsidRDefault="00081FE7" w:rsidP="00081FE7">
      <w:pPr>
        <w:pStyle w:val="Sinespaciado"/>
        <w:ind w:left="0" w:right="55" w:firstLine="0"/>
        <w:rPr>
          <w:sz w:val="22"/>
          <w:highlight w:val="yellow"/>
        </w:rPr>
      </w:pPr>
    </w:p>
    <w:p w:rsidR="00081FE7" w:rsidRPr="00081FE7" w:rsidRDefault="00081FE7" w:rsidP="00081FE7">
      <w:pPr>
        <w:pStyle w:val="Sinespaciado"/>
        <w:ind w:right="55"/>
        <w:rPr>
          <w:sz w:val="22"/>
        </w:rPr>
      </w:pPr>
      <w:r w:rsidRPr="00D0547C">
        <w:rPr>
          <w:b/>
          <w:sz w:val="22"/>
          <w:highlight w:val="yellow"/>
        </w:rPr>
        <w:t xml:space="preserve">Boletines de reportantes. </w:t>
      </w:r>
      <w:r w:rsidRPr="00D0547C">
        <w:rPr>
          <w:sz w:val="22"/>
          <w:highlight w:val="yellow"/>
        </w:rPr>
        <w:t>La UIAF seguirá publicando los boletines para reportantes como un espacio de información permanente que permite dar a conocer las acciones y estrategias desarrolladas por la entidad en materia de prevención. Este producto dirigido especialmente a los más de 18 mil reportantes de la Unidad, se publicará una vez al mes en la página web de la UIAF.</w:t>
      </w:r>
      <w:r w:rsidRPr="00081FE7">
        <w:rPr>
          <w:sz w:val="22"/>
        </w:rPr>
        <w:t xml:space="preserve"> </w:t>
      </w:r>
    </w:p>
    <w:p w:rsidR="00081FE7" w:rsidRPr="00081FE7" w:rsidRDefault="00081FE7" w:rsidP="00081FE7">
      <w:pPr>
        <w:pStyle w:val="Sinespaciado"/>
        <w:ind w:right="55"/>
        <w:rPr>
          <w:sz w:val="22"/>
        </w:rPr>
      </w:pPr>
    </w:p>
    <w:p w:rsidR="00081FE7" w:rsidRPr="00081FE7" w:rsidRDefault="00081FE7" w:rsidP="00081FE7">
      <w:pPr>
        <w:pStyle w:val="Sinespaciado"/>
        <w:ind w:right="55"/>
        <w:rPr>
          <w:sz w:val="22"/>
        </w:rPr>
      </w:pPr>
      <w:r w:rsidRPr="00081FE7">
        <w:rPr>
          <w:b/>
          <w:sz w:val="22"/>
        </w:rPr>
        <w:t xml:space="preserve">Correo electrónico </w:t>
      </w:r>
      <w:proofErr w:type="spellStart"/>
      <w:r w:rsidRPr="00081FE7">
        <w:rPr>
          <w:b/>
          <w:sz w:val="22"/>
        </w:rPr>
        <w:t>RdC</w:t>
      </w:r>
      <w:proofErr w:type="spellEnd"/>
      <w:r w:rsidRPr="00081FE7">
        <w:rPr>
          <w:b/>
          <w:sz w:val="22"/>
        </w:rPr>
        <w:t xml:space="preserve">. </w:t>
      </w:r>
      <w:r w:rsidRPr="00081FE7">
        <w:rPr>
          <w:sz w:val="22"/>
        </w:rPr>
        <w:t xml:space="preserve">La UIAF mantiene habilitado el correo electrónico </w:t>
      </w:r>
      <w:hyperlink r:id="rId15" w:history="1">
        <w:r w:rsidRPr="00081FE7">
          <w:rPr>
            <w:rStyle w:val="Hipervnculo"/>
            <w:sz w:val="22"/>
          </w:rPr>
          <w:t>reniciondecuentas@uiaf.gov.co</w:t>
        </w:r>
      </w:hyperlink>
      <w:r w:rsidRPr="00081FE7">
        <w:rPr>
          <w:sz w:val="22"/>
        </w:rPr>
        <w:t xml:space="preserve">  a través del cual los ciudadanos y grupos de valor pueden enviar las preguntas que surjan con respecto al informe publicado. Las inquietudes serán respondidas por el mismo canal en cuanto sean recibidas y se relacionarán en el informe final de la </w:t>
      </w:r>
      <w:proofErr w:type="spellStart"/>
      <w:r w:rsidRPr="00081FE7">
        <w:rPr>
          <w:sz w:val="22"/>
        </w:rPr>
        <w:t>RdC</w:t>
      </w:r>
      <w:proofErr w:type="spellEnd"/>
      <w:r w:rsidRPr="00081FE7">
        <w:rPr>
          <w:sz w:val="22"/>
        </w:rPr>
        <w:t xml:space="preserve">. </w:t>
      </w:r>
    </w:p>
    <w:p w:rsidR="00081FE7" w:rsidRPr="00081FE7" w:rsidRDefault="00081FE7" w:rsidP="00081FE7">
      <w:pPr>
        <w:pStyle w:val="Sinespaciado"/>
        <w:ind w:right="55"/>
        <w:rPr>
          <w:sz w:val="22"/>
        </w:rPr>
      </w:pPr>
    </w:p>
    <w:p w:rsidR="00081FE7" w:rsidRPr="00081FE7" w:rsidRDefault="00081FE7" w:rsidP="00081FE7">
      <w:pPr>
        <w:pStyle w:val="Sinespaciado"/>
        <w:ind w:right="55"/>
        <w:rPr>
          <w:sz w:val="22"/>
        </w:rPr>
      </w:pPr>
      <w:r w:rsidRPr="00081FE7">
        <w:rPr>
          <w:b/>
          <w:sz w:val="22"/>
        </w:rPr>
        <w:t xml:space="preserve">Elaboración de Encuestas </w:t>
      </w:r>
      <w:proofErr w:type="spellStart"/>
      <w:r w:rsidRPr="00081FE7">
        <w:rPr>
          <w:b/>
          <w:sz w:val="22"/>
        </w:rPr>
        <w:t>RdC</w:t>
      </w:r>
      <w:proofErr w:type="spellEnd"/>
      <w:r w:rsidRPr="00081FE7">
        <w:rPr>
          <w:b/>
          <w:sz w:val="22"/>
        </w:rPr>
        <w:t xml:space="preserve">. </w:t>
      </w:r>
      <w:r w:rsidRPr="00081FE7">
        <w:rPr>
          <w:sz w:val="22"/>
        </w:rPr>
        <w:t xml:space="preserve">Son consultas a los participantes, tanto de las mesas de trabajo como de los foros virtuales, que buscan medir el nivel de satisfacción sobre los temas abordados durante la jornada y además, la percepción sobre el trabajo de la UIAF. Las encuestas se difundirán a través de un enlace en donde los participantes tendrán acceso a los dos formularios. </w:t>
      </w:r>
    </w:p>
    <w:p w:rsidR="00081FE7" w:rsidRPr="00081FE7" w:rsidRDefault="00081FE7" w:rsidP="00081FE7">
      <w:pPr>
        <w:pStyle w:val="Sinespaciado"/>
        <w:ind w:right="55"/>
        <w:rPr>
          <w:sz w:val="22"/>
        </w:rPr>
      </w:pPr>
    </w:p>
    <w:p w:rsidR="00081FE7" w:rsidRPr="00081FE7" w:rsidRDefault="00081FE7" w:rsidP="00081FE7">
      <w:pPr>
        <w:pStyle w:val="Sinespaciado"/>
        <w:ind w:right="55"/>
        <w:rPr>
          <w:sz w:val="22"/>
        </w:rPr>
      </w:pPr>
      <w:r w:rsidRPr="00081FE7">
        <w:rPr>
          <w:b/>
          <w:sz w:val="22"/>
        </w:rPr>
        <w:t xml:space="preserve">Informe de Preguntas y Repuestas. </w:t>
      </w:r>
      <w:r w:rsidRPr="00081FE7">
        <w:rPr>
          <w:sz w:val="22"/>
        </w:rPr>
        <w:t xml:space="preserve">Una vez terminados los espacios de Rendición de Cuentas se darán a conocer los resultados finales a través de un documento que recoja las inquietudes y respuestas formuladas por los grupos de valor en los encuentros presenciales y virtuales, así como a través del correo </w:t>
      </w:r>
      <w:hyperlink r:id="rId16" w:history="1">
        <w:r w:rsidRPr="00081FE7">
          <w:rPr>
            <w:rStyle w:val="Hipervnculo"/>
            <w:sz w:val="22"/>
          </w:rPr>
          <w:t>rendiciondecuentas@uiaf.gov.co</w:t>
        </w:r>
      </w:hyperlink>
      <w:r w:rsidRPr="00081FE7">
        <w:rPr>
          <w:sz w:val="22"/>
        </w:rPr>
        <w:t xml:space="preserve">. El informe será publicado en el enlace de Rendición de Cuentas en el sitio web de la Unidad. </w:t>
      </w:r>
    </w:p>
    <w:p w:rsidR="00081FE7" w:rsidRPr="00081FE7" w:rsidRDefault="00081FE7" w:rsidP="00081FE7">
      <w:pPr>
        <w:pStyle w:val="Sinespaciado"/>
        <w:ind w:right="55"/>
        <w:rPr>
          <w:sz w:val="22"/>
        </w:rPr>
      </w:pPr>
    </w:p>
    <w:p w:rsidR="00081FE7" w:rsidRPr="00081FE7" w:rsidRDefault="00081FE7" w:rsidP="00081FE7">
      <w:pPr>
        <w:pStyle w:val="Sinespaciado"/>
        <w:ind w:left="0" w:right="55" w:firstLine="0"/>
        <w:rPr>
          <w:sz w:val="22"/>
        </w:rPr>
      </w:pPr>
      <w:r w:rsidRPr="00081FE7">
        <w:rPr>
          <w:b/>
          <w:sz w:val="22"/>
        </w:rPr>
        <w:t xml:space="preserve">Acciones de mejora. </w:t>
      </w:r>
      <w:r w:rsidRPr="00081FE7">
        <w:rPr>
          <w:sz w:val="22"/>
        </w:rPr>
        <w:t xml:space="preserve">Con base en la respuesta de las encuestas de satisfacción aplicadas en los encuentros, se diseñarán planes de mejoramiento para la </w:t>
      </w:r>
      <w:proofErr w:type="spellStart"/>
      <w:r w:rsidRPr="00081FE7">
        <w:rPr>
          <w:sz w:val="22"/>
        </w:rPr>
        <w:t>RdC</w:t>
      </w:r>
      <w:proofErr w:type="spellEnd"/>
      <w:r w:rsidRPr="00081FE7">
        <w:rPr>
          <w:sz w:val="22"/>
        </w:rPr>
        <w:t xml:space="preserve"> de la siguiente vigencia.  </w:t>
      </w:r>
    </w:p>
    <w:p w:rsidR="00081FE7" w:rsidRPr="00081FE7" w:rsidRDefault="00081FE7" w:rsidP="00081FE7">
      <w:pPr>
        <w:pStyle w:val="Sinespaciado"/>
        <w:ind w:left="0" w:right="55" w:firstLine="0"/>
        <w:rPr>
          <w:sz w:val="22"/>
        </w:rPr>
      </w:pPr>
    </w:p>
    <w:p w:rsidR="00081FE7" w:rsidRPr="00081FE7" w:rsidRDefault="00D0547C" w:rsidP="00081FE7">
      <w:pPr>
        <w:pStyle w:val="Sinespaciado"/>
        <w:numPr>
          <w:ilvl w:val="2"/>
          <w:numId w:val="31"/>
        </w:numPr>
        <w:ind w:left="567" w:right="55" w:hanging="567"/>
        <w:rPr>
          <w:b/>
          <w:sz w:val="22"/>
        </w:rPr>
      </w:pPr>
      <w:r>
        <w:rPr>
          <w:b/>
          <w:sz w:val="22"/>
        </w:rPr>
        <w:t>Cronograma de Acciones 2023</w:t>
      </w:r>
    </w:p>
    <w:p w:rsidR="00081FE7" w:rsidRPr="00081FE7" w:rsidRDefault="00081FE7" w:rsidP="00081FE7">
      <w:pPr>
        <w:pStyle w:val="Sinespaciado"/>
        <w:ind w:left="0" w:right="55" w:firstLine="0"/>
        <w:rPr>
          <w:sz w:val="22"/>
        </w:rPr>
      </w:pPr>
    </w:p>
    <w:tbl>
      <w:tblPr>
        <w:tblW w:w="10054" w:type="dxa"/>
        <w:tblLayout w:type="fixed"/>
        <w:tblCellMar>
          <w:left w:w="70" w:type="dxa"/>
          <w:right w:w="70" w:type="dxa"/>
        </w:tblCellMar>
        <w:tblLook w:val="04A0" w:firstRow="1" w:lastRow="0" w:firstColumn="1" w:lastColumn="0" w:noHBand="0" w:noVBand="1"/>
      </w:tblPr>
      <w:tblGrid>
        <w:gridCol w:w="1691"/>
        <w:gridCol w:w="567"/>
        <w:gridCol w:w="3119"/>
        <w:gridCol w:w="1701"/>
        <w:gridCol w:w="1701"/>
        <w:gridCol w:w="1275"/>
      </w:tblGrid>
      <w:tr w:rsidR="00081FE7" w:rsidRPr="00081FE7" w:rsidTr="00A03FD7">
        <w:trPr>
          <w:trHeight w:val="281"/>
          <w:tblHeader/>
        </w:trPr>
        <w:tc>
          <w:tcPr>
            <w:tcW w:w="10054" w:type="dxa"/>
            <w:gridSpan w:val="6"/>
            <w:tcBorders>
              <w:top w:val="single" w:sz="8" w:space="0" w:color="366092"/>
              <w:left w:val="single" w:sz="8" w:space="0" w:color="366092"/>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 xml:space="preserve">Plan Anticorrupción y de Atención al Ciudadano                                                                                                                                                                                                                                        </w:t>
            </w:r>
          </w:p>
        </w:tc>
      </w:tr>
      <w:tr w:rsidR="00081FE7" w:rsidRPr="00081FE7" w:rsidTr="00A03FD7">
        <w:trPr>
          <w:trHeight w:val="233"/>
          <w:tblHeader/>
        </w:trPr>
        <w:tc>
          <w:tcPr>
            <w:tcW w:w="10054" w:type="dxa"/>
            <w:gridSpan w:val="6"/>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Componente 3:  Rendición de Cuentas</w:t>
            </w:r>
          </w:p>
        </w:tc>
      </w:tr>
      <w:tr w:rsidR="00081FE7" w:rsidRPr="00081FE7" w:rsidTr="00A03FD7">
        <w:trPr>
          <w:trHeight w:val="315"/>
          <w:tblHeader/>
        </w:trPr>
        <w:tc>
          <w:tcPr>
            <w:tcW w:w="1691" w:type="dxa"/>
            <w:tcBorders>
              <w:top w:val="nil"/>
              <w:left w:val="single" w:sz="8" w:space="0" w:color="366092"/>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 xml:space="preserve">Subcomponente </w:t>
            </w:r>
          </w:p>
        </w:tc>
        <w:tc>
          <w:tcPr>
            <w:tcW w:w="3686" w:type="dxa"/>
            <w:gridSpan w:val="2"/>
            <w:tcBorders>
              <w:top w:val="single" w:sz="8" w:space="0" w:color="366092"/>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Actividades</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Meta o Producto</w:t>
            </w:r>
          </w:p>
        </w:tc>
        <w:tc>
          <w:tcPr>
            <w:tcW w:w="1701"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 xml:space="preserve">Responsable </w:t>
            </w:r>
          </w:p>
        </w:tc>
        <w:tc>
          <w:tcPr>
            <w:tcW w:w="1275"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 xml:space="preserve">Fecha </w:t>
            </w:r>
          </w:p>
          <w:p w:rsidR="00081FE7" w:rsidRPr="00081FE7" w:rsidRDefault="00081FE7" w:rsidP="00A03FD7">
            <w:pPr>
              <w:jc w:val="center"/>
              <w:rPr>
                <w:rFonts w:ascii="Cambria" w:hAnsi="Cambria"/>
                <w:b/>
                <w:bCs/>
                <w:sz w:val="18"/>
                <w:szCs w:val="18"/>
              </w:rPr>
            </w:pPr>
            <w:r w:rsidRPr="00081FE7">
              <w:rPr>
                <w:rFonts w:ascii="Cambria" w:hAnsi="Cambria"/>
                <w:b/>
                <w:bCs/>
                <w:sz w:val="18"/>
                <w:szCs w:val="18"/>
              </w:rPr>
              <w:t>Programada</w:t>
            </w:r>
          </w:p>
        </w:tc>
      </w:tr>
      <w:tr w:rsidR="00081FE7" w:rsidRPr="00081FE7" w:rsidTr="00A03FD7">
        <w:trPr>
          <w:trHeight w:val="695"/>
        </w:trPr>
        <w:tc>
          <w:tcPr>
            <w:tcW w:w="1691" w:type="dxa"/>
            <w:vMerge w:val="restart"/>
            <w:tcBorders>
              <w:top w:val="nil"/>
              <w:left w:val="single" w:sz="8" w:space="0" w:color="366092"/>
              <w:bottom w:val="single" w:sz="8" w:space="0" w:color="366092"/>
              <w:right w:val="single" w:sz="8" w:space="0" w:color="366092"/>
            </w:tcBorders>
            <w:shd w:val="clear" w:color="000000" w:fill="DCE6F1"/>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Información</w:t>
            </w:r>
          </w:p>
        </w:tc>
        <w:tc>
          <w:tcPr>
            <w:tcW w:w="56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1.1</w:t>
            </w:r>
          </w:p>
        </w:tc>
        <w:tc>
          <w:tcPr>
            <w:tcW w:w="311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Presentar y publicar la Estrategia General de Rendición de Cuentas de la Entidad</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Documento Publicado en el Sitio Web de la UIAF</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7537B" w:rsidP="00A03FD7">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tc>
        <w:tc>
          <w:tcPr>
            <w:tcW w:w="1275"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7537B" w:rsidP="00A03FD7">
            <w:pPr>
              <w:jc w:val="center"/>
              <w:rPr>
                <w:rFonts w:ascii="Cambria" w:hAnsi="Cambria"/>
                <w:sz w:val="18"/>
                <w:szCs w:val="18"/>
              </w:rPr>
            </w:pPr>
            <w:r>
              <w:rPr>
                <w:rFonts w:ascii="Cambria" w:hAnsi="Cambria"/>
                <w:sz w:val="18"/>
                <w:szCs w:val="18"/>
              </w:rPr>
              <w:t>31-Ene-2023</w:t>
            </w:r>
          </w:p>
        </w:tc>
      </w:tr>
      <w:tr w:rsidR="00081FE7" w:rsidRPr="00081FE7" w:rsidTr="00A03FD7">
        <w:trPr>
          <w:trHeight w:val="676"/>
        </w:trPr>
        <w:tc>
          <w:tcPr>
            <w:tcW w:w="1691"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sz w:val="18"/>
                <w:szCs w:val="18"/>
              </w:rPr>
            </w:pPr>
          </w:p>
        </w:tc>
        <w:tc>
          <w:tcPr>
            <w:tcW w:w="56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1.2</w:t>
            </w:r>
          </w:p>
        </w:tc>
        <w:tc>
          <w:tcPr>
            <w:tcW w:w="311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Mantener actualizado el Sitio Web y las redes sociales de la UIAF con información relevante, veraz y oportuna. Esto incluye el enlace a Datos Abiertos.</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Sitio Web Actualizado</w:t>
            </w:r>
            <w:r w:rsidRPr="00081FE7">
              <w:rPr>
                <w:rFonts w:ascii="Cambria" w:hAnsi="Cambria"/>
                <w:sz w:val="18"/>
                <w:szCs w:val="18"/>
              </w:rPr>
              <w:br/>
            </w:r>
            <w:r w:rsidRPr="00081FE7">
              <w:rPr>
                <w:rFonts w:ascii="Cambria" w:hAnsi="Cambria"/>
                <w:sz w:val="18"/>
                <w:szCs w:val="18"/>
              </w:rPr>
              <w:br/>
              <w:t>Redes Sociales Actualizadas</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Default="0007537B" w:rsidP="00A03FD7">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p w:rsidR="0007537B" w:rsidRPr="00081FE7" w:rsidRDefault="0007537B" w:rsidP="00A03FD7">
            <w:pPr>
              <w:jc w:val="center"/>
              <w:rPr>
                <w:rFonts w:ascii="Cambria" w:hAnsi="Cambria"/>
                <w:sz w:val="18"/>
                <w:szCs w:val="18"/>
              </w:rPr>
            </w:pPr>
          </w:p>
          <w:p w:rsidR="00081FE7" w:rsidRPr="00081FE7" w:rsidRDefault="00081FE7" w:rsidP="00A03FD7">
            <w:pPr>
              <w:jc w:val="center"/>
              <w:rPr>
                <w:rFonts w:ascii="Cambria" w:hAnsi="Cambria"/>
                <w:sz w:val="18"/>
                <w:szCs w:val="18"/>
              </w:rPr>
            </w:pPr>
            <w:r w:rsidRPr="00081FE7">
              <w:rPr>
                <w:rFonts w:ascii="Cambria" w:hAnsi="Cambria"/>
                <w:sz w:val="18"/>
                <w:szCs w:val="18"/>
              </w:rPr>
              <w:t>Todas las Áreas</w:t>
            </w:r>
          </w:p>
        </w:tc>
        <w:tc>
          <w:tcPr>
            <w:tcW w:w="1275"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Permanente</w:t>
            </w:r>
          </w:p>
        </w:tc>
      </w:tr>
      <w:tr w:rsidR="00081FE7" w:rsidRPr="00081FE7" w:rsidTr="0007537B">
        <w:trPr>
          <w:trHeight w:val="645"/>
        </w:trPr>
        <w:tc>
          <w:tcPr>
            <w:tcW w:w="1691"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sz w:val="18"/>
                <w:szCs w:val="18"/>
              </w:rPr>
            </w:pPr>
          </w:p>
        </w:tc>
        <w:tc>
          <w:tcPr>
            <w:tcW w:w="56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1.3</w:t>
            </w:r>
          </w:p>
        </w:tc>
        <w:tc>
          <w:tcPr>
            <w:tcW w:w="311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Conformar y Capacitar el Grupo de la Rendición de Cuentas</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Grupo Interdisciplinario de Rendición de Cuentas Conformado</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7537B" w:rsidP="0007537B">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tc>
        <w:tc>
          <w:tcPr>
            <w:tcW w:w="1275" w:type="dxa"/>
            <w:tcBorders>
              <w:top w:val="nil"/>
              <w:left w:val="nil"/>
              <w:bottom w:val="single" w:sz="8" w:space="0" w:color="366092"/>
              <w:right w:val="single" w:sz="8" w:space="0" w:color="366092"/>
            </w:tcBorders>
            <w:shd w:val="clear" w:color="auto" w:fill="auto"/>
            <w:noWrap/>
            <w:vAlign w:val="center"/>
          </w:tcPr>
          <w:p w:rsidR="00081FE7" w:rsidRPr="00081FE7" w:rsidRDefault="0007537B" w:rsidP="00A03FD7">
            <w:pPr>
              <w:jc w:val="center"/>
              <w:rPr>
                <w:rFonts w:ascii="Cambria" w:hAnsi="Cambria"/>
                <w:sz w:val="18"/>
                <w:szCs w:val="18"/>
                <w:highlight w:val="yellow"/>
              </w:rPr>
            </w:pPr>
            <w:r w:rsidRPr="0007537B">
              <w:rPr>
                <w:rFonts w:ascii="Cambria" w:hAnsi="Cambria"/>
                <w:sz w:val="18"/>
                <w:szCs w:val="18"/>
              </w:rPr>
              <w:t>31-Ago-2023</w:t>
            </w:r>
          </w:p>
        </w:tc>
      </w:tr>
      <w:tr w:rsidR="00081FE7" w:rsidRPr="00081FE7" w:rsidTr="00A03FD7">
        <w:trPr>
          <w:trHeight w:val="645"/>
        </w:trPr>
        <w:tc>
          <w:tcPr>
            <w:tcW w:w="1691" w:type="dxa"/>
            <w:vMerge/>
            <w:tcBorders>
              <w:top w:val="nil"/>
              <w:left w:val="single" w:sz="8" w:space="0" w:color="366092"/>
              <w:bottom w:val="single" w:sz="8" w:space="0" w:color="366092"/>
              <w:right w:val="single" w:sz="8" w:space="0" w:color="366092"/>
            </w:tcBorders>
            <w:vAlign w:val="center"/>
          </w:tcPr>
          <w:p w:rsidR="00081FE7" w:rsidRPr="00081FE7" w:rsidRDefault="00081FE7" w:rsidP="00A03FD7">
            <w:pPr>
              <w:rPr>
                <w:rFonts w:ascii="Cambria" w:hAnsi="Cambria"/>
                <w:sz w:val="18"/>
                <w:szCs w:val="18"/>
              </w:rPr>
            </w:pPr>
          </w:p>
        </w:tc>
        <w:tc>
          <w:tcPr>
            <w:tcW w:w="567" w:type="dxa"/>
            <w:tcBorders>
              <w:top w:val="nil"/>
              <w:left w:val="nil"/>
              <w:bottom w:val="single" w:sz="8" w:space="0" w:color="366092"/>
              <w:right w:val="single" w:sz="8" w:space="0" w:color="366092"/>
            </w:tcBorders>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1.4</w:t>
            </w:r>
          </w:p>
        </w:tc>
        <w:tc>
          <w:tcPr>
            <w:tcW w:w="3119" w:type="dxa"/>
            <w:tcBorders>
              <w:top w:val="nil"/>
              <w:left w:val="nil"/>
              <w:bottom w:val="single" w:sz="8" w:space="0" w:color="366092"/>
              <w:right w:val="single" w:sz="8" w:space="0" w:color="366092"/>
            </w:tcBorders>
            <w:shd w:val="clear" w:color="000000" w:fill="FFFFFF"/>
            <w:vAlign w:val="center"/>
          </w:tcPr>
          <w:p w:rsidR="00081FE7" w:rsidRPr="00081FE7" w:rsidRDefault="00081FE7" w:rsidP="0007537B">
            <w:pPr>
              <w:jc w:val="both"/>
              <w:rPr>
                <w:rFonts w:ascii="Cambria" w:hAnsi="Cambria"/>
                <w:i/>
                <w:iCs/>
                <w:sz w:val="18"/>
                <w:szCs w:val="18"/>
              </w:rPr>
            </w:pPr>
            <w:r w:rsidRPr="00081FE7">
              <w:rPr>
                <w:rFonts w:ascii="Cambria" w:hAnsi="Cambria"/>
                <w:i/>
                <w:iCs/>
                <w:sz w:val="18"/>
                <w:szCs w:val="18"/>
              </w:rPr>
              <w:t>Elaborar y consolidar el Informe de gestión vigencia 202</w:t>
            </w:r>
            <w:r w:rsidR="0007537B">
              <w:rPr>
                <w:rFonts w:ascii="Cambria" w:hAnsi="Cambria"/>
                <w:i/>
                <w:iCs/>
                <w:sz w:val="18"/>
                <w:szCs w:val="18"/>
              </w:rPr>
              <w:t>2</w:t>
            </w:r>
            <w:r w:rsidRPr="00081FE7">
              <w:rPr>
                <w:rFonts w:ascii="Cambria" w:hAnsi="Cambria"/>
                <w:i/>
                <w:iCs/>
                <w:sz w:val="18"/>
                <w:szCs w:val="18"/>
              </w:rPr>
              <w:t xml:space="preserve"> - 202</w:t>
            </w:r>
            <w:r w:rsidR="0007537B">
              <w:rPr>
                <w:rFonts w:ascii="Cambria" w:hAnsi="Cambria"/>
                <w:i/>
                <w:iCs/>
                <w:sz w:val="18"/>
                <w:szCs w:val="18"/>
              </w:rPr>
              <w:t>3</w:t>
            </w:r>
          </w:p>
        </w:tc>
        <w:tc>
          <w:tcPr>
            <w:tcW w:w="1701" w:type="dxa"/>
            <w:tcBorders>
              <w:top w:val="nil"/>
              <w:left w:val="nil"/>
              <w:bottom w:val="single" w:sz="8" w:space="0" w:color="366092"/>
              <w:right w:val="single" w:sz="8" w:space="0" w:color="366092"/>
            </w:tcBorders>
            <w:shd w:val="clear" w:color="000000" w:fill="FFFFFF"/>
            <w:vAlign w:val="center"/>
          </w:tcPr>
          <w:p w:rsidR="00081FE7" w:rsidRPr="00081FE7" w:rsidRDefault="00081FE7" w:rsidP="0007537B">
            <w:pPr>
              <w:jc w:val="center"/>
              <w:rPr>
                <w:rFonts w:ascii="Cambria" w:hAnsi="Cambria"/>
                <w:sz w:val="18"/>
                <w:szCs w:val="18"/>
              </w:rPr>
            </w:pPr>
            <w:r w:rsidRPr="00081FE7">
              <w:rPr>
                <w:rFonts w:ascii="Cambria" w:hAnsi="Cambria"/>
                <w:sz w:val="18"/>
                <w:szCs w:val="18"/>
              </w:rPr>
              <w:t>Documento de Informe de Gestión 202</w:t>
            </w:r>
            <w:r w:rsidR="0007537B">
              <w:rPr>
                <w:rFonts w:ascii="Cambria" w:hAnsi="Cambria"/>
                <w:sz w:val="18"/>
                <w:szCs w:val="18"/>
              </w:rPr>
              <w:t xml:space="preserve">2 – 2023 </w:t>
            </w:r>
            <w:r w:rsidRPr="00081FE7">
              <w:rPr>
                <w:rFonts w:ascii="Cambria" w:hAnsi="Cambria"/>
                <w:sz w:val="18"/>
                <w:szCs w:val="18"/>
              </w:rPr>
              <w:t>Elaborado</w:t>
            </w:r>
          </w:p>
        </w:tc>
        <w:tc>
          <w:tcPr>
            <w:tcW w:w="1701" w:type="dxa"/>
            <w:tcBorders>
              <w:top w:val="nil"/>
              <w:left w:val="nil"/>
              <w:bottom w:val="single" w:sz="8" w:space="0" w:color="366092"/>
              <w:right w:val="single" w:sz="8" w:space="0" w:color="366092"/>
            </w:tcBorders>
            <w:shd w:val="clear" w:color="000000" w:fill="FFFFFF"/>
            <w:vAlign w:val="center"/>
          </w:tcPr>
          <w:p w:rsidR="00081FE7" w:rsidRPr="00081FE7" w:rsidRDefault="00081FE7" w:rsidP="00A03FD7">
            <w:pPr>
              <w:rPr>
                <w:rFonts w:ascii="Cambria" w:hAnsi="Cambria"/>
                <w:sz w:val="18"/>
                <w:szCs w:val="18"/>
              </w:rPr>
            </w:pPr>
            <w:r w:rsidRPr="00081FE7">
              <w:rPr>
                <w:rFonts w:ascii="Cambria" w:hAnsi="Cambria"/>
                <w:sz w:val="18"/>
                <w:szCs w:val="18"/>
              </w:rPr>
              <w:t>Todas las Áreas</w:t>
            </w:r>
          </w:p>
        </w:tc>
        <w:tc>
          <w:tcPr>
            <w:tcW w:w="1275" w:type="dxa"/>
            <w:tcBorders>
              <w:top w:val="nil"/>
              <w:left w:val="nil"/>
              <w:bottom w:val="single" w:sz="8" w:space="0" w:color="366092"/>
              <w:right w:val="single" w:sz="8" w:space="0" w:color="366092"/>
            </w:tcBorders>
            <w:shd w:val="clear" w:color="000000" w:fill="FFFFFF"/>
            <w:noWrap/>
            <w:vAlign w:val="center"/>
          </w:tcPr>
          <w:p w:rsidR="00081FE7" w:rsidRPr="00081FE7" w:rsidRDefault="00081FE7" w:rsidP="00A03FD7">
            <w:pPr>
              <w:jc w:val="center"/>
              <w:rPr>
                <w:rFonts w:ascii="Cambria" w:hAnsi="Cambria"/>
                <w:sz w:val="18"/>
                <w:szCs w:val="18"/>
                <w:highlight w:val="yellow"/>
              </w:rPr>
            </w:pPr>
            <w:r w:rsidRPr="00081FE7">
              <w:rPr>
                <w:rFonts w:ascii="Cambria" w:hAnsi="Cambria"/>
                <w:sz w:val="18"/>
                <w:szCs w:val="18"/>
              </w:rPr>
              <w:t>Octubre -noviembre de 202</w:t>
            </w:r>
            <w:r w:rsidR="0007537B">
              <w:rPr>
                <w:rFonts w:ascii="Cambria" w:hAnsi="Cambria"/>
                <w:sz w:val="18"/>
                <w:szCs w:val="18"/>
              </w:rPr>
              <w:t>3</w:t>
            </w:r>
          </w:p>
        </w:tc>
      </w:tr>
      <w:tr w:rsidR="00081FE7" w:rsidRPr="00081FE7" w:rsidTr="00A03FD7">
        <w:trPr>
          <w:trHeight w:val="645"/>
        </w:trPr>
        <w:tc>
          <w:tcPr>
            <w:tcW w:w="1691" w:type="dxa"/>
            <w:vMerge/>
            <w:tcBorders>
              <w:top w:val="nil"/>
              <w:left w:val="single" w:sz="8" w:space="0" w:color="366092"/>
              <w:bottom w:val="single" w:sz="8" w:space="0" w:color="366092"/>
              <w:right w:val="single" w:sz="8" w:space="0" w:color="366092"/>
            </w:tcBorders>
            <w:vAlign w:val="center"/>
          </w:tcPr>
          <w:p w:rsidR="00081FE7" w:rsidRPr="00081FE7" w:rsidRDefault="00081FE7" w:rsidP="00A03FD7">
            <w:pPr>
              <w:rPr>
                <w:rFonts w:ascii="Cambria" w:hAnsi="Cambria"/>
                <w:sz w:val="18"/>
                <w:szCs w:val="18"/>
              </w:rPr>
            </w:pPr>
          </w:p>
        </w:tc>
        <w:tc>
          <w:tcPr>
            <w:tcW w:w="567" w:type="dxa"/>
            <w:tcBorders>
              <w:top w:val="nil"/>
              <w:left w:val="nil"/>
              <w:bottom w:val="single" w:sz="8" w:space="0" w:color="366092"/>
              <w:right w:val="single" w:sz="8" w:space="0" w:color="366092"/>
            </w:tcBorders>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1.5</w:t>
            </w:r>
          </w:p>
        </w:tc>
        <w:tc>
          <w:tcPr>
            <w:tcW w:w="3119" w:type="dxa"/>
            <w:tcBorders>
              <w:top w:val="nil"/>
              <w:left w:val="nil"/>
              <w:bottom w:val="single" w:sz="8" w:space="0" w:color="366092"/>
              <w:right w:val="single" w:sz="8" w:space="0" w:color="366092"/>
            </w:tcBorders>
            <w:shd w:val="clear" w:color="000000" w:fill="FFFFFF"/>
            <w:vAlign w:val="center"/>
          </w:tcPr>
          <w:p w:rsidR="00081FE7" w:rsidRPr="00081FE7" w:rsidRDefault="00081FE7" w:rsidP="0007537B">
            <w:pPr>
              <w:jc w:val="both"/>
              <w:rPr>
                <w:rFonts w:ascii="Cambria" w:hAnsi="Cambria"/>
                <w:i/>
                <w:iCs/>
                <w:sz w:val="18"/>
                <w:szCs w:val="18"/>
              </w:rPr>
            </w:pPr>
            <w:r w:rsidRPr="00081FE7">
              <w:rPr>
                <w:rFonts w:ascii="Cambria" w:hAnsi="Cambria"/>
                <w:i/>
                <w:iCs/>
                <w:sz w:val="18"/>
                <w:szCs w:val="18"/>
              </w:rPr>
              <w:t>Publicar en el sitio web y las redes sociales el informe de gestión 202</w:t>
            </w:r>
            <w:r w:rsidR="0007537B">
              <w:rPr>
                <w:rFonts w:ascii="Cambria" w:hAnsi="Cambria"/>
                <w:i/>
                <w:iCs/>
                <w:sz w:val="18"/>
                <w:szCs w:val="18"/>
              </w:rPr>
              <w:t>2</w:t>
            </w:r>
            <w:r w:rsidRPr="00081FE7">
              <w:rPr>
                <w:rFonts w:ascii="Cambria" w:hAnsi="Cambria"/>
                <w:i/>
                <w:iCs/>
                <w:sz w:val="18"/>
                <w:szCs w:val="18"/>
              </w:rPr>
              <w:t xml:space="preserve"> – 202</w:t>
            </w:r>
            <w:r w:rsidR="0007537B">
              <w:rPr>
                <w:rFonts w:ascii="Cambria" w:hAnsi="Cambria"/>
                <w:i/>
                <w:iCs/>
                <w:sz w:val="18"/>
                <w:szCs w:val="18"/>
              </w:rPr>
              <w:t>3</w:t>
            </w:r>
          </w:p>
        </w:tc>
        <w:tc>
          <w:tcPr>
            <w:tcW w:w="1701" w:type="dxa"/>
            <w:tcBorders>
              <w:top w:val="nil"/>
              <w:left w:val="nil"/>
              <w:bottom w:val="single" w:sz="8" w:space="0" w:color="366092"/>
              <w:right w:val="single" w:sz="8" w:space="0" w:color="366092"/>
            </w:tcBorders>
            <w:shd w:val="clear" w:color="000000" w:fill="FFFFFF"/>
            <w:vAlign w:val="center"/>
          </w:tcPr>
          <w:p w:rsidR="00081FE7" w:rsidRPr="00081FE7" w:rsidRDefault="00081FE7" w:rsidP="0007537B">
            <w:pPr>
              <w:jc w:val="center"/>
              <w:rPr>
                <w:rFonts w:ascii="Cambria" w:hAnsi="Cambria"/>
                <w:sz w:val="18"/>
                <w:szCs w:val="18"/>
              </w:rPr>
            </w:pPr>
            <w:r w:rsidRPr="00081FE7">
              <w:rPr>
                <w:rFonts w:ascii="Cambria" w:hAnsi="Cambria"/>
                <w:sz w:val="18"/>
                <w:szCs w:val="18"/>
              </w:rPr>
              <w:t>Documento de Informe de Gestión 202</w:t>
            </w:r>
            <w:r w:rsidR="0007537B">
              <w:rPr>
                <w:rFonts w:ascii="Cambria" w:hAnsi="Cambria"/>
                <w:sz w:val="18"/>
                <w:szCs w:val="18"/>
              </w:rPr>
              <w:t>2 - 2023</w:t>
            </w:r>
            <w:r w:rsidRPr="00081FE7">
              <w:rPr>
                <w:rFonts w:ascii="Cambria" w:hAnsi="Cambria"/>
                <w:sz w:val="18"/>
                <w:szCs w:val="18"/>
              </w:rPr>
              <w:t xml:space="preserve"> Publicado</w:t>
            </w:r>
          </w:p>
        </w:tc>
        <w:tc>
          <w:tcPr>
            <w:tcW w:w="1701" w:type="dxa"/>
            <w:tcBorders>
              <w:top w:val="nil"/>
              <w:left w:val="nil"/>
              <w:bottom w:val="single" w:sz="8" w:space="0" w:color="366092"/>
              <w:right w:val="single" w:sz="8" w:space="0" w:color="366092"/>
            </w:tcBorders>
            <w:shd w:val="clear" w:color="000000" w:fill="FFFFFF"/>
            <w:vAlign w:val="center"/>
          </w:tcPr>
          <w:p w:rsidR="00081FE7" w:rsidRPr="00081FE7" w:rsidRDefault="0007537B" w:rsidP="0007537B">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tc>
        <w:tc>
          <w:tcPr>
            <w:tcW w:w="1275" w:type="dxa"/>
            <w:tcBorders>
              <w:top w:val="nil"/>
              <w:left w:val="nil"/>
              <w:bottom w:val="single" w:sz="8" w:space="0" w:color="366092"/>
              <w:right w:val="single" w:sz="8" w:space="0" w:color="366092"/>
            </w:tcBorders>
            <w:shd w:val="clear" w:color="000000" w:fill="FFFFFF"/>
            <w:noWrap/>
            <w:vAlign w:val="center"/>
          </w:tcPr>
          <w:p w:rsidR="00081FE7" w:rsidRPr="00081FE7" w:rsidRDefault="00081FE7" w:rsidP="0007537B">
            <w:pPr>
              <w:jc w:val="center"/>
              <w:rPr>
                <w:rFonts w:ascii="Cambria" w:hAnsi="Cambria"/>
                <w:sz w:val="18"/>
                <w:szCs w:val="18"/>
                <w:highlight w:val="yellow"/>
              </w:rPr>
            </w:pPr>
            <w:r w:rsidRPr="00081FE7">
              <w:rPr>
                <w:rFonts w:ascii="Cambria" w:hAnsi="Cambria"/>
                <w:sz w:val="18"/>
                <w:szCs w:val="18"/>
              </w:rPr>
              <w:t>Noviembre de 202</w:t>
            </w:r>
            <w:r w:rsidR="0007537B">
              <w:rPr>
                <w:rFonts w:ascii="Cambria" w:hAnsi="Cambria"/>
                <w:sz w:val="18"/>
                <w:szCs w:val="18"/>
              </w:rPr>
              <w:t>3</w:t>
            </w:r>
          </w:p>
        </w:tc>
      </w:tr>
      <w:tr w:rsidR="00081FE7" w:rsidRPr="00081FE7" w:rsidTr="00A03FD7">
        <w:trPr>
          <w:trHeight w:val="615"/>
        </w:trPr>
        <w:tc>
          <w:tcPr>
            <w:tcW w:w="1691"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sz w:val="18"/>
                <w:szCs w:val="18"/>
              </w:rPr>
            </w:pPr>
          </w:p>
        </w:tc>
        <w:tc>
          <w:tcPr>
            <w:tcW w:w="56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1.6</w:t>
            </w:r>
          </w:p>
        </w:tc>
        <w:tc>
          <w:tcPr>
            <w:tcW w:w="3119" w:type="dxa"/>
            <w:tcBorders>
              <w:top w:val="nil"/>
              <w:left w:val="nil"/>
              <w:bottom w:val="single" w:sz="8" w:space="0" w:color="366092"/>
              <w:right w:val="single" w:sz="8" w:space="0" w:color="366092"/>
            </w:tcBorders>
            <w:shd w:val="clear" w:color="000000" w:fill="FFFFFF"/>
            <w:vAlign w:val="center"/>
          </w:tcPr>
          <w:p w:rsidR="00081FE7" w:rsidRPr="00081FE7" w:rsidRDefault="00081FE7" w:rsidP="0007537B">
            <w:pPr>
              <w:jc w:val="both"/>
              <w:rPr>
                <w:rFonts w:ascii="Cambria" w:hAnsi="Cambria"/>
                <w:i/>
                <w:iCs/>
                <w:sz w:val="18"/>
                <w:szCs w:val="18"/>
              </w:rPr>
            </w:pPr>
            <w:r w:rsidRPr="00081FE7">
              <w:rPr>
                <w:rFonts w:ascii="Cambria" w:hAnsi="Cambria"/>
                <w:i/>
                <w:iCs/>
                <w:sz w:val="18"/>
                <w:szCs w:val="18"/>
              </w:rPr>
              <w:t>Actualizar y publicar el Pl</w:t>
            </w:r>
            <w:r w:rsidR="0007537B">
              <w:rPr>
                <w:rFonts w:ascii="Cambria" w:hAnsi="Cambria"/>
                <w:i/>
                <w:iCs/>
                <w:sz w:val="18"/>
                <w:szCs w:val="18"/>
              </w:rPr>
              <w:t>an Estratégico Institucional 2023</w:t>
            </w:r>
            <w:r w:rsidRPr="00081FE7">
              <w:rPr>
                <w:rFonts w:ascii="Cambria" w:hAnsi="Cambria"/>
                <w:i/>
                <w:iCs/>
                <w:sz w:val="18"/>
                <w:szCs w:val="18"/>
              </w:rPr>
              <w:t xml:space="preserve"> - 202</w:t>
            </w:r>
            <w:r w:rsidR="0007537B">
              <w:rPr>
                <w:rFonts w:ascii="Cambria" w:hAnsi="Cambria"/>
                <w:i/>
                <w:iCs/>
                <w:sz w:val="18"/>
                <w:szCs w:val="18"/>
              </w:rPr>
              <w:t>6</w:t>
            </w:r>
          </w:p>
        </w:tc>
        <w:tc>
          <w:tcPr>
            <w:tcW w:w="1701" w:type="dxa"/>
            <w:tcBorders>
              <w:top w:val="nil"/>
              <w:left w:val="nil"/>
              <w:bottom w:val="single" w:sz="8" w:space="0" w:color="366092"/>
              <w:right w:val="single" w:sz="8" w:space="0" w:color="366092"/>
            </w:tcBorders>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Documento de Plan Estratégico Actualizado y Publicado</w:t>
            </w:r>
          </w:p>
        </w:tc>
        <w:tc>
          <w:tcPr>
            <w:tcW w:w="1701" w:type="dxa"/>
            <w:tcBorders>
              <w:top w:val="nil"/>
              <w:left w:val="nil"/>
              <w:bottom w:val="single" w:sz="8" w:space="0" w:color="366092"/>
              <w:right w:val="single" w:sz="8" w:space="0" w:color="366092"/>
            </w:tcBorders>
            <w:shd w:val="clear" w:color="000000" w:fill="FFFFFF"/>
            <w:vAlign w:val="center"/>
          </w:tcPr>
          <w:p w:rsidR="00081FE7" w:rsidRPr="00081FE7" w:rsidRDefault="0007537B" w:rsidP="00A03FD7">
            <w:pPr>
              <w:jc w:val="center"/>
              <w:rPr>
                <w:rFonts w:ascii="Cambria" w:hAnsi="Cambria"/>
                <w:sz w:val="18"/>
                <w:szCs w:val="18"/>
              </w:rPr>
            </w:pPr>
            <w:r>
              <w:rPr>
                <w:rFonts w:ascii="Cambria" w:hAnsi="Cambria"/>
                <w:sz w:val="18"/>
                <w:szCs w:val="18"/>
              </w:rPr>
              <w:t xml:space="preserve">Oficina Asesora de </w:t>
            </w:r>
            <w:r w:rsidR="00081FE7" w:rsidRPr="00081FE7">
              <w:rPr>
                <w:rFonts w:ascii="Cambria" w:hAnsi="Cambria"/>
                <w:sz w:val="18"/>
                <w:szCs w:val="18"/>
              </w:rPr>
              <w:t>Planeación</w:t>
            </w:r>
          </w:p>
        </w:tc>
        <w:tc>
          <w:tcPr>
            <w:tcW w:w="1275" w:type="dxa"/>
            <w:tcBorders>
              <w:top w:val="nil"/>
              <w:left w:val="nil"/>
              <w:bottom w:val="single" w:sz="8" w:space="0" w:color="366092"/>
              <w:right w:val="single" w:sz="8" w:space="0" w:color="366092"/>
            </w:tcBorders>
            <w:shd w:val="clear" w:color="000000" w:fill="FFFFFF"/>
            <w:noWrap/>
            <w:vAlign w:val="center"/>
          </w:tcPr>
          <w:p w:rsidR="00081FE7" w:rsidRPr="00081FE7" w:rsidRDefault="0007537B" w:rsidP="00A03FD7">
            <w:pPr>
              <w:jc w:val="center"/>
              <w:rPr>
                <w:rFonts w:ascii="Cambria" w:hAnsi="Cambria"/>
                <w:sz w:val="18"/>
                <w:szCs w:val="18"/>
              </w:rPr>
            </w:pPr>
            <w:r>
              <w:rPr>
                <w:rFonts w:ascii="Cambria" w:hAnsi="Cambria"/>
                <w:sz w:val="18"/>
                <w:szCs w:val="18"/>
              </w:rPr>
              <w:t>31-Ene-2023</w:t>
            </w:r>
          </w:p>
        </w:tc>
      </w:tr>
      <w:tr w:rsidR="00081FE7" w:rsidRPr="00081FE7" w:rsidTr="00A03FD7">
        <w:trPr>
          <w:trHeight w:val="501"/>
        </w:trPr>
        <w:tc>
          <w:tcPr>
            <w:tcW w:w="1691"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sz w:val="18"/>
                <w:szCs w:val="18"/>
              </w:rPr>
            </w:pPr>
          </w:p>
        </w:tc>
        <w:tc>
          <w:tcPr>
            <w:tcW w:w="56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1.7</w:t>
            </w:r>
          </w:p>
        </w:tc>
        <w:tc>
          <w:tcPr>
            <w:tcW w:w="311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Elaborar y diseñar piezas  comunicativas para dar a conocer las acciones de la  UIAF a través del sitio web y las redes sociales</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Sitio web</w:t>
            </w:r>
          </w:p>
          <w:p w:rsidR="00081FE7" w:rsidRPr="00081FE7" w:rsidRDefault="00081FE7" w:rsidP="00A03FD7">
            <w:pPr>
              <w:jc w:val="center"/>
              <w:rPr>
                <w:rFonts w:ascii="Cambria" w:hAnsi="Cambria"/>
                <w:sz w:val="18"/>
                <w:szCs w:val="18"/>
              </w:rPr>
            </w:pPr>
            <w:r w:rsidRPr="00081FE7">
              <w:rPr>
                <w:rFonts w:ascii="Cambria" w:hAnsi="Cambria"/>
                <w:sz w:val="18"/>
                <w:szCs w:val="18"/>
              </w:rPr>
              <w:t>Redes sociales</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7537B" w:rsidP="00A03FD7">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tc>
        <w:tc>
          <w:tcPr>
            <w:tcW w:w="1275"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Permanente</w:t>
            </w:r>
          </w:p>
        </w:tc>
      </w:tr>
      <w:tr w:rsidR="00081FE7" w:rsidRPr="00081FE7" w:rsidTr="00A03FD7">
        <w:trPr>
          <w:trHeight w:val="655"/>
        </w:trPr>
        <w:tc>
          <w:tcPr>
            <w:tcW w:w="1691"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sz w:val="18"/>
                <w:szCs w:val="18"/>
              </w:rPr>
            </w:pPr>
          </w:p>
        </w:tc>
        <w:tc>
          <w:tcPr>
            <w:tcW w:w="56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1.8</w:t>
            </w:r>
          </w:p>
        </w:tc>
        <w:tc>
          <w:tcPr>
            <w:tcW w:w="311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Informar a los ciudadanos sobre los mecanismos de participación ciudadana con los que cuentan para poder acceder a la Entidad</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Sitio web</w:t>
            </w:r>
          </w:p>
          <w:p w:rsidR="00081FE7" w:rsidRPr="00081FE7" w:rsidRDefault="00081FE7" w:rsidP="00A03FD7">
            <w:pPr>
              <w:jc w:val="center"/>
              <w:rPr>
                <w:rFonts w:ascii="Cambria" w:hAnsi="Cambria"/>
                <w:sz w:val="18"/>
                <w:szCs w:val="18"/>
              </w:rPr>
            </w:pPr>
            <w:r w:rsidRPr="00081FE7">
              <w:rPr>
                <w:rFonts w:ascii="Cambria" w:hAnsi="Cambria"/>
                <w:sz w:val="18"/>
                <w:szCs w:val="18"/>
              </w:rPr>
              <w:t>Redes sociales</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7537B" w:rsidP="00A03FD7">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tc>
        <w:tc>
          <w:tcPr>
            <w:tcW w:w="1275"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Permanente</w:t>
            </w:r>
          </w:p>
        </w:tc>
      </w:tr>
      <w:tr w:rsidR="00081FE7" w:rsidRPr="00081FE7" w:rsidTr="00A03FD7">
        <w:trPr>
          <w:trHeight w:val="615"/>
        </w:trPr>
        <w:tc>
          <w:tcPr>
            <w:tcW w:w="1691"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sz w:val="18"/>
                <w:szCs w:val="18"/>
              </w:rPr>
            </w:pPr>
          </w:p>
        </w:tc>
        <w:tc>
          <w:tcPr>
            <w:tcW w:w="567"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1.9</w:t>
            </w:r>
          </w:p>
        </w:tc>
        <w:tc>
          <w:tcPr>
            <w:tcW w:w="3119" w:type="dxa"/>
            <w:tcBorders>
              <w:top w:val="nil"/>
              <w:left w:val="nil"/>
              <w:bottom w:val="single" w:sz="8" w:space="0" w:color="366092"/>
              <w:right w:val="single" w:sz="8" w:space="0" w:color="366092"/>
            </w:tcBorders>
            <w:shd w:val="clear" w:color="000000" w:fill="FFFFFF"/>
            <w:vAlign w:val="center"/>
          </w:tcPr>
          <w:p w:rsidR="00081FE7" w:rsidRPr="00D0547C" w:rsidRDefault="00081FE7" w:rsidP="00A03FD7">
            <w:pPr>
              <w:jc w:val="both"/>
              <w:rPr>
                <w:rFonts w:ascii="Cambria" w:hAnsi="Cambria"/>
                <w:i/>
                <w:iCs/>
                <w:sz w:val="18"/>
                <w:szCs w:val="18"/>
                <w:highlight w:val="yellow"/>
              </w:rPr>
            </w:pPr>
            <w:r w:rsidRPr="00D0547C">
              <w:rPr>
                <w:rFonts w:ascii="Cambria" w:hAnsi="Cambria"/>
                <w:i/>
                <w:iCs/>
                <w:sz w:val="18"/>
                <w:szCs w:val="18"/>
                <w:highlight w:val="yellow"/>
              </w:rPr>
              <w:t>Elaborar y enviar el Boletín de Reportantes con información relevante para este grupo de valor</w:t>
            </w:r>
          </w:p>
        </w:tc>
        <w:tc>
          <w:tcPr>
            <w:tcW w:w="1701" w:type="dxa"/>
            <w:tcBorders>
              <w:top w:val="nil"/>
              <w:left w:val="nil"/>
              <w:bottom w:val="single" w:sz="8" w:space="0" w:color="366092"/>
              <w:right w:val="single" w:sz="8" w:space="0" w:color="366092"/>
            </w:tcBorders>
            <w:shd w:val="clear" w:color="000000" w:fill="FFFFFF"/>
            <w:vAlign w:val="center"/>
          </w:tcPr>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Once (11) boletines de reportantes enviados</w:t>
            </w:r>
          </w:p>
        </w:tc>
        <w:tc>
          <w:tcPr>
            <w:tcW w:w="1701" w:type="dxa"/>
            <w:tcBorders>
              <w:top w:val="nil"/>
              <w:left w:val="nil"/>
              <w:bottom w:val="single" w:sz="8" w:space="0" w:color="366092"/>
              <w:right w:val="single" w:sz="8" w:space="0" w:color="366092"/>
            </w:tcBorders>
            <w:shd w:val="clear" w:color="000000" w:fill="FFFFFF"/>
            <w:vAlign w:val="center"/>
          </w:tcPr>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Subdirección de Análisis Estratégico</w:t>
            </w:r>
          </w:p>
          <w:p w:rsidR="0007537B" w:rsidRPr="00D0547C" w:rsidRDefault="0007537B" w:rsidP="00A03FD7">
            <w:pPr>
              <w:jc w:val="center"/>
              <w:rPr>
                <w:rFonts w:ascii="Cambria" w:hAnsi="Cambria"/>
                <w:sz w:val="18"/>
                <w:szCs w:val="18"/>
                <w:highlight w:val="yellow"/>
              </w:rPr>
            </w:pPr>
          </w:p>
          <w:p w:rsidR="00081FE7" w:rsidRPr="00D0547C" w:rsidRDefault="0007537B" w:rsidP="00A03FD7">
            <w:pPr>
              <w:jc w:val="center"/>
              <w:rPr>
                <w:rFonts w:ascii="Cambria" w:hAnsi="Cambria"/>
                <w:sz w:val="18"/>
                <w:szCs w:val="18"/>
                <w:highlight w:val="yellow"/>
              </w:rPr>
            </w:pPr>
            <w:r w:rsidRPr="00D0547C">
              <w:rPr>
                <w:rFonts w:ascii="Cambria" w:hAnsi="Cambria"/>
                <w:sz w:val="18"/>
                <w:szCs w:val="18"/>
                <w:highlight w:val="yellow"/>
              </w:rPr>
              <w:t xml:space="preserve">Grupo de </w:t>
            </w:r>
            <w:r w:rsidR="00081FE7" w:rsidRPr="00D0547C">
              <w:rPr>
                <w:rFonts w:ascii="Cambria" w:hAnsi="Cambria"/>
                <w:sz w:val="18"/>
                <w:szCs w:val="18"/>
                <w:highlight w:val="yellow"/>
              </w:rPr>
              <w:t>Comunicaciones</w:t>
            </w:r>
          </w:p>
        </w:tc>
        <w:tc>
          <w:tcPr>
            <w:tcW w:w="1275" w:type="dxa"/>
            <w:tcBorders>
              <w:top w:val="nil"/>
              <w:left w:val="nil"/>
              <w:bottom w:val="single" w:sz="8" w:space="0" w:color="366092"/>
              <w:right w:val="single" w:sz="8" w:space="0" w:color="366092"/>
            </w:tcBorders>
            <w:shd w:val="clear" w:color="000000" w:fill="FFFFFF"/>
            <w:noWrap/>
            <w:vAlign w:val="center"/>
          </w:tcPr>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Mensual</w:t>
            </w:r>
          </w:p>
        </w:tc>
      </w:tr>
      <w:tr w:rsidR="00081FE7" w:rsidRPr="00081FE7" w:rsidTr="00A03FD7">
        <w:trPr>
          <w:trHeight w:val="315"/>
          <w:tblHeader/>
        </w:trPr>
        <w:tc>
          <w:tcPr>
            <w:tcW w:w="1691" w:type="dxa"/>
            <w:vMerge w:val="restart"/>
            <w:tcBorders>
              <w:top w:val="single" w:sz="8" w:space="0" w:color="366092"/>
              <w:left w:val="single" w:sz="8" w:space="0" w:color="366092"/>
              <w:bottom w:val="single" w:sz="8" w:space="0" w:color="366092"/>
              <w:right w:val="single" w:sz="8" w:space="0" w:color="366092"/>
            </w:tcBorders>
            <w:shd w:val="clear" w:color="000000" w:fill="FFFFFF"/>
            <w:noWrap/>
            <w:vAlign w:val="center"/>
          </w:tcPr>
          <w:p w:rsidR="00081FE7" w:rsidRPr="00081FE7" w:rsidRDefault="00081FE7" w:rsidP="00A03FD7">
            <w:pPr>
              <w:jc w:val="center"/>
              <w:rPr>
                <w:rFonts w:ascii="Cambria" w:hAnsi="Cambria"/>
                <w:sz w:val="20"/>
                <w:szCs w:val="20"/>
              </w:rPr>
            </w:pPr>
            <w:r w:rsidRPr="00081FE7">
              <w:rPr>
                <w:rFonts w:ascii="Cambria" w:hAnsi="Cambria"/>
                <w:sz w:val="20"/>
                <w:szCs w:val="20"/>
              </w:rPr>
              <w:t>Diálogo</w:t>
            </w:r>
          </w:p>
        </w:tc>
        <w:tc>
          <w:tcPr>
            <w:tcW w:w="567" w:type="dxa"/>
            <w:tcBorders>
              <w:top w:val="single" w:sz="8" w:space="0" w:color="366092"/>
              <w:left w:val="nil"/>
              <w:bottom w:val="single" w:sz="8" w:space="0" w:color="366092"/>
              <w:right w:val="single" w:sz="8" w:space="0" w:color="366092"/>
            </w:tcBorders>
            <w:shd w:val="clear" w:color="000000" w:fill="FFFFFF"/>
            <w:noWrap/>
            <w:vAlign w:val="center"/>
          </w:tcPr>
          <w:p w:rsidR="00081FE7" w:rsidRPr="00081FE7" w:rsidRDefault="00081FE7" w:rsidP="00A03FD7">
            <w:pPr>
              <w:jc w:val="center"/>
              <w:rPr>
                <w:rFonts w:ascii="Cambria" w:hAnsi="Cambria"/>
                <w:b/>
                <w:bCs/>
                <w:sz w:val="20"/>
                <w:szCs w:val="20"/>
              </w:rPr>
            </w:pPr>
            <w:r w:rsidRPr="00081FE7">
              <w:rPr>
                <w:rFonts w:ascii="Cambria" w:hAnsi="Cambria"/>
                <w:b/>
                <w:bCs/>
                <w:sz w:val="20"/>
                <w:szCs w:val="20"/>
              </w:rPr>
              <w:t>2.1</w:t>
            </w:r>
          </w:p>
        </w:tc>
        <w:tc>
          <w:tcPr>
            <w:tcW w:w="3119" w:type="dxa"/>
            <w:tcBorders>
              <w:top w:val="single" w:sz="8" w:space="0" w:color="366092"/>
              <w:left w:val="nil"/>
              <w:bottom w:val="single" w:sz="8" w:space="0" w:color="366092"/>
              <w:right w:val="single" w:sz="8" w:space="0" w:color="366092"/>
            </w:tcBorders>
            <w:shd w:val="clear" w:color="000000" w:fill="FFFFFF"/>
            <w:vAlign w:val="center"/>
          </w:tcPr>
          <w:p w:rsidR="00081FE7" w:rsidRPr="00081FE7" w:rsidRDefault="00081FE7" w:rsidP="00A03FD7">
            <w:pPr>
              <w:jc w:val="both"/>
              <w:rPr>
                <w:rFonts w:ascii="Cambria" w:hAnsi="Cambria"/>
                <w:b/>
                <w:bCs/>
                <w:sz w:val="18"/>
                <w:szCs w:val="18"/>
              </w:rPr>
            </w:pPr>
            <w:r w:rsidRPr="00081FE7">
              <w:rPr>
                <w:rFonts w:ascii="Cambria" w:hAnsi="Cambria"/>
                <w:i/>
                <w:iCs/>
                <w:sz w:val="18"/>
                <w:szCs w:val="18"/>
              </w:rPr>
              <w:t xml:space="preserve">Mantener habilitado el Correo Rendición de cuentas para que los ciudadanos puedan enviar sus inquietudes sobre el Informe de </w:t>
            </w:r>
            <w:proofErr w:type="spellStart"/>
            <w:r w:rsidRPr="00081FE7">
              <w:rPr>
                <w:rFonts w:ascii="Cambria" w:hAnsi="Cambria"/>
                <w:i/>
                <w:iCs/>
                <w:sz w:val="18"/>
                <w:szCs w:val="18"/>
              </w:rPr>
              <w:t>RdC</w:t>
            </w:r>
            <w:proofErr w:type="spellEnd"/>
          </w:p>
        </w:tc>
        <w:tc>
          <w:tcPr>
            <w:tcW w:w="1701" w:type="dxa"/>
            <w:tcBorders>
              <w:top w:val="single" w:sz="8" w:space="0" w:color="366092"/>
              <w:left w:val="nil"/>
              <w:bottom w:val="single" w:sz="8" w:space="0" w:color="366092"/>
              <w:right w:val="single" w:sz="8" w:space="0" w:color="366092"/>
            </w:tcBorders>
            <w:shd w:val="clear" w:color="000000" w:fill="FFFFFF"/>
            <w:vAlign w:val="center"/>
          </w:tcPr>
          <w:p w:rsidR="00081FE7" w:rsidRPr="00081FE7" w:rsidRDefault="00081FE7" w:rsidP="00A03FD7">
            <w:pPr>
              <w:jc w:val="center"/>
              <w:rPr>
                <w:rFonts w:ascii="Cambria" w:hAnsi="Cambria"/>
                <w:i/>
                <w:iCs/>
                <w:sz w:val="18"/>
                <w:szCs w:val="18"/>
              </w:rPr>
            </w:pPr>
            <w:r w:rsidRPr="00081FE7">
              <w:rPr>
                <w:rFonts w:ascii="Cambria" w:hAnsi="Cambria"/>
                <w:sz w:val="18"/>
                <w:szCs w:val="18"/>
              </w:rPr>
              <w:t>Canal de Comunicación Habilitado</w:t>
            </w:r>
          </w:p>
        </w:tc>
        <w:tc>
          <w:tcPr>
            <w:tcW w:w="1701" w:type="dxa"/>
            <w:tcBorders>
              <w:top w:val="single" w:sz="8" w:space="0" w:color="366092"/>
              <w:left w:val="nil"/>
              <w:bottom w:val="single" w:sz="8" w:space="0" w:color="366092"/>
              <w:right w:val="single" w:sz="8" w:space="0" w:color="366092"/>
            </w:tcBorders>
            <w:shd w:val="clear" w:color="000000" w:fill="FFFFFF"/>
            <w:noWrap/>
            <w:vAlign w:val="center"/>
          </w:tcPr>
          <w:p w:rsidR="00081FE7" w:rsidRPr="00081FE7" w:rsidRDefault="00D0547C" w:rsidP="00D0547C">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 xml:space="preserve">Comunicaciones </w:t>
            </w:r>
            <w:r w:rsidR="00081FE7" w:rsidRPr="00081FE7">
              <w:rPr>
                <w:rFonts w:ascii="Cambria" w:hAnsi="Cambria"/>
                <w:sz w:val="18"/>
                <w:szCs w:val="18"/>
              </w:rPr>
              <w:br/>
              <w:t xml:space="preserve">Subdirección de </w:t>
            </w:r>
            <w:r>
              <w:rPr>
                <w:rFonts w:ascii="Cambria" w:hAnsi="Cambria"/>
                <w:sz w:val="18"/>
                <w:szCs w:val="18"/>
              </w:rPr>
              <w:t>Tecnologías de la Información</w:t>
            </w:r>
          </w:p>
        </w:tc>
        <w:tc>
          <w:tcPr>
            <w:tcW w:w="1275" w:type="dxa"/>
            <w:tcBorders>
              <w:top w:val="single" w:sz="8" w:space="0" w:color="366092"/>
              <w:left w:val="nil"/>
              <w:bottom w:val="single" w:sz="8" w:space="0" w:color="366092"/>
              <w:right w:val="single" w:sz="8" w:space="0" w:color="366092"/>
            </w:tcBorders>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Permanente</w:t>
            </w:r>
          </w:p>
        </w:tc>
      </w:tr>
      <w:tr w:rsidR="00081FE7" w:rsidRPr="00081FE7" w:rsidTr="00A03FD7">
        <w:trPr>
          <w:trHeight w:val="1275"/>
        </w:trPr>
        <w:tc>
          <w:tcPr>
            <w:tcW w:w="1691" w:type="dxa"/>
            <w:vMerge/>
            <w:tcBorders>
              <w:left w:val="single" w:sz="8" w:space="0" w:color="366092"/>
              <w:right w:val="single" w:sz="8" w:space="0" w:color="366092"/>
            </w:tcBorders>
            <w:vAlign w:val="center"/>
            <w:hideMark/>
          </w:tcPr>
          <w:p w:rsidR="00081FE7" w:rsidRPr="00081FE7" w:rsidRDefault="00081FE7" w:rsidP="00A03FD7">
            <w:pPr>
              <w:rPr>
                <w:rFonts w:ascii="Cambria" w:hAnsi="Cambria"/>
                <w:sz w:val="20"/>
                <w:szCs w:val="20"/>
              </w:rPr>
            </w:pPr>
          </w:p>
        </w:tc>
        <w:tc>
          <w:tcPr>
            <w:tcW w:w="567" w:type="dxa"/>
            <w:tcBorders>
              <w:top w:val="nil"/>
              <w:left w:val="single" w:sz="8" w:space="0" w:color="366092"/>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20"/>
                <w:szCs w:val="20"/>
              </w:rPr>
            </w:pPr>
            <w:r w:rsidRPr="00081FE7">
              <w:rPr>
                <w:rFonts w:ascii="Cambria" w:hAnsi="Cambria"/>
                <w:b/>
                <w:bCs/>
                <w:sz w:val="20"/>
                <w:szCs w:val="20"/>
              </w:rPr>
              <w:t>2.2</w:t>
            </w:r>
          </w:p>
        </w:tc>
        <w:tc>
          <w:tcPr>
            <w:tcW w:w="3119" w:type="dxa"/>
            <w:tcBorders>
              <w:top w:val="nil"/>
              <w:left w:val="nil"/>
              <w:bottom w:val="single" w:sz="8" w:space="0" w:color="366092"/>
              <w:right w:val="single" w:sz="8" w:space="0" w:color="366092"/>
            </w:tcBorders>
            <w:shd w:val="clear" w:color="000000" w:fill="FFFFFF"/>
            <w:vAlign w:val="center"/>
            <w:hideMark/>
          </w:tcPr>
          <w:p w:rsidR="00081FE7" w:rsidRPr="00D0547C" w:rsidRDefault="00081FE7" w:rsidP="00A03FD7">
            <w:pPr>
              <w:jc w:val="both"/>
              <w:rPr>
                <w:rFonts w:ascii="Cambria" w:hAnsi="Cambria"/>
                <w:i/>
                <w:iCs/>
                <w:sz w:val="18"/>
                <w:szCs w:val="18"/>
                <w:highlight w:val="yellow"/>
              </w:rPr>
            </w:pPr>
            <w:r w:rsidRPr="00D0547C">
              <w:rPr>
                <w:rFonts w:ascii="Cambria" w:hAnsi="Cambria"/>
                <w:i/>
                <w:iCs/>
                <w:sz w:val="18"/>
                <w:szCs w:val="18"/>
                <w:highlight w:val="yellow"/>
              </w:rPr>
              <w:t>Realizar FOROS VIRTUALES sectorizados dirigidos a los oficiales de cumplimiento</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D0547C" w:rsidRDefault="00081FE7" w:rsidP="00A03FD7">
            <w:pPr>
              <w:rPr>
                <w:rFonts w:ascii="Cambria" w:hAnsi="Cambria"/>
                <w:sz w:val="18"/>
                <w:szCs w:val="18"/>
                <w:highlight w:val="yellow"/>
              </w:rPr>
            </w:pPr>
            <w:r w:rsidRPr="00D0547C">
              <w:rPr>
                <w:rFonts w:ascii="Cambria" w:hAnsi="Cambria"/>
                <w:sz w:val="18"/>
                <w:szCs w:val="18"/>
                <w:highlight w:val="yellow"/>
              </w:rPr>
              <w:t>Seis (6) Foros Virtuales Realizados</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Subdirección de Análisis Estratégico;</w:t>
            </w:r>
          </w:p>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Subdirección de Informática;</w:t>
            </w:r>
          </w:p>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Oficina Asesora Jurídica;</w:t>
            </w:r>
          </w:p>
        </w:tc>
        <w:tc>
          <w:tcPr>
            <w:tcW w:w="1275" w:type="dxa"/>
            <w:tcBorders>
              <w:top w:val="nil"/>
              <w:left w:val="nil"/>
              <w:bottom w:val="single" w:sz="8" w:space="0" w:color="366092"/>
              <w:right w:val="single" w:sz="8" w:space="0" w:color="366092"/>
            </w:tcBorders>
            <w:shd w:val="clear" w:color="000000" w:fill="FFFFFF"/>
            <w:noWrap/>
            <w:vAlign w:val="center"/>
            <w:hideMark/>
          </w:tcPr>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Bimestral</w:t>
            </w:r>
          </w:p>
        </w:tc>
      </w:tr>
      <w:tr w:rsidR="00081FE7" w:rsidRPr="00081FE7" w:rsidTr="00A03FD7">
        <w:trPr>
          <w:trHeight w:val="940"/>
        </w:trPr>
        <w:tc>
          <w:tcPr>
            <w:tcW w:w="1691" w:type="dxa"/>
            <w:vMerge/>
            <w:tcBorders>
              <w:left w:val="single" w:sz="8" w:space="0" w:color="366092"/>
              <w:bottom w:val="single" w:sz="8" w:space="0" w:color="5B9BD5"/>
              <w:right w:val="single" w:sz="8" w:space="0" w:color="366092"/>
            </w:tcBorders>
            <w:vAlign w:val="center"/>
          </w:tcPr>
          <w:p w:rsidR="00081FE7" w:rsidRPr="00081FE7" w:rsidRDefault="00081FE7" w:rsidP="00A03FD7">
            <w:pPr>
              <w:rPr>
                <w:rFonts w:ascii="Cambria" w:hAnsi="Cambria"/>
                <w:sz w:val="20"/>
                <w:szCs w:val="20"/>
              </w:rPr>
            </w:pPr>
          </w:p>
        </w:tc>
        <w:tc>
          <w:tcPr>
            <w:tcW w:w="567" w:type="dxa"/>
            <w:tcBorders>
              <w:top w:val="nil"/>
              <w:left w:val="single" w:sz="8" w:space="0" w:color="366092"/>
              <w:bottom w:val="single" w:sz="8" w:space="0" w:color="366092"/>
              <w:right w:val="single" w:sz="8" w:space="0" w:color="366092"/>
            </w:tcBorders>
            <w:shd w:val="clear" w:color="000000" w:fill="FFFFFF"/>
            <w:vAlign w:val="center"/>
          </w:tcPr>
          <w:p w:rsidR="00081FE7" w:rsidRPr="00081FE7" w:rsidRDefault="00081FE7" w:rsidP="00A03FD7">
            <w:pPr>
              <w:jc w:val="center"/>
              <w:rPr>
                <w:rFonts w:ascii="Cambria" w:hAnsi="Cambria"/>
                <w:b/>
                <w:bCs/>
                <w:sz w:val="20"/>
                <w:szCs w:val="20"/>
              </w:rPr>
            </w:pPr>
            <w:r w:rsidRPr="00081FE7">
              <w:rPr>
                <w:rFonts w:ascii="Cambria" w:hAnsi="Cambria"/>
                <w:b/>
                <w:bCs/>
                <w:sz w:val="20"/>
                <w:szCs w:val="20"/>
              </w:rPr>
              <w:t>2.3</w:t>
            </w:r>
          </w:p>
        </w:tc>
        <w:tc>
          <w:tcPr>
            <w:tcW w:w="3119" w:type="dxa"/>
            <w:tcBorders>
              <w:top w:val="nil"/>
              <w:left w:val="nil"/>
              <w:bottom w:val="single" w:sz="8" w:space="0" w:color="366092"/>
              <w:right w:val="single" w:sz="8" w:space="0" w:color="366092"/>
            </w:tcBorders>
            <w:shd w:val="clear" w:color="000000" w:fill="FFFFFF"/>
            <w:vAlign w:val="center"/>
          </w:tcPr>
          <w:p w:rsidR="00081FE7" w:rsidRPr="00D0547C" w:rsidRDefault="00081FE7" w:rsidP="00A03FD7">
            <w:pPr>
              <w:jc w:val="both"/>
              <w:rPr>
                <w:rFonts w:ascii="Cambria" w:hAnsi="Cambria"/>
                <w:i/>
                <w:iCs/>
                <w:sz w:val="18"/>
                <w:szCs w:val="18"/>
                <w:highlight w:val="yellow"/>
              </w:rPr>
            </w:pPr>
            <w:r w:rsidRPr="00D0547C">
              <w:rPr>
                <w:rFonts w:ascii="Cambria" w:hAnsi="Cambria"/>
                <w:i/>
                <w:iCs/>
                <w:sz w:val="18"/>
                <w:szCs w:val="18"/>
                <w:highlight w:val="yellow"/>
              </w:rPr>
              <w:t>Aplicar Encuestas de percepción una vez terminadas las jornadas de los foros virtuales</w:t>
            </w:r>
          </w:p>
        </w:tc>
        <w:tc>
          <w:tcPr>
            <w:tcW w:w="1701" w:type="dxa"/>
            <w:tcBorders>
              <w:top w:val="nil"/>
              <w:left w:val="nil"/>
              <w:bottom w:val="single" w:sz="8" w:space="0" w:color="366092"/>
              <w:right w:val="single" w:sz="8" w:space="0" w:color="366092"/>
            </w:tcBorders>
            <w:shd w:val="clear" w:color="000000" w:fill="FFFFFF"/>
            <w:vAlign w:val="center"/>
          </w:tcPr>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Encuestas de Percepción Aplicadas</w:t>
            </w:r>
          </w:p>
        </w:tc>
        <w:tc>
          <w:tcPr>
            <w:tcW w:w="1701" w:type="dxa"/>
            <w:tcBorders>
              <w:top w:val="nil"/>
              <w:left w:val="nil"/>
              <w:bottom w:val="single" w:sz="8" w:space="0" w:color="366092"/>
              <w:right w:val="single" w:sz="8" w:space="0" w:color="366092"/>
            </w:tcBorders>
            <w:shd w:val="clear" w:color="000000" w:fill="FFFFFF"/>
            <w:vAlign w:val="center"/>
          </w:tcPr>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 xml:space="preserve">Subdirección </w:t>
            </w:r>
            <w:r w:rsidR="00D0547C">
              <w:rPr>
                <w:rFonts w:ascii="Cambria" w:hAnsi="Cambria"/>
                <w:sz w:val="18"/>
                <w:szCs w:val="18"/>
                <w:highlight w:val="yellow"/>
              </w:rPr>
              <w:t>de Tecnologías de la Información</w:t>
            </w:r>
            <w:r w:rsidRPr="00D0547C">
              <w:rPr>
                <w:rFonts w:ascii="Cambria" w:hAnsi="Cambria"/>
                <w:sz w:val="18"/>
                <w:szCs w:val="18"/>
                <w:highlight w:val="yellow"/>
              </w:rPr>
              <w:t>;</w:t>
            </w:r>
          </w:p>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Subdirección de Análisis Estratégico</w:t>
            </w:r>
          </w:p>
        </w:tc>
        <w:tc>
          <w:tcPr>
            <w:tcW w:w="1275" w:type="dxa"/>
            <w:tcBorders>
              <w:top w:val="nil"/>
              <w:left w:val="nil"/>
              <w:bottom w:val="single" w:sz="8" w:space="0" w:color="366092"/>
              <w:right w:val="single" w:sz="8" w:space="0" w:color="366092"/>
            </w:tcBorders>
            <w:shd w:val="clear" w:color="000000" w:fill="FFFFFF"/>
            <w:noWrap/>
            <w:vAlign w:val="center"/>
          </w:tcPr>
          <w:p w:rsidR="00081FE7" w:rsidRPr="00D0547C" w:rsidRDefault="00081FE7" w:rsidP="00A03FD7">
            <w:pPr>
              <w:jc w:val="center"/>
              <w:rPr>
                <w:rFonts w:ascii="Cambria" w:hAnsi="Cambria"/>
                <w:sz w:val="18"/>
                <w:szCs w:val="18"/>
                <w:highlight w:val="yellow"/>
              </w:rPr>
            </w:pPr>
            <w:r w:rsidRPr="00D0547C">
              <w:rPr>
                <w:rFonts w:ascii="Cambria" w:hAnsi="Cambria"/>
                <w:sz w:val="18"/>
                <w:szCs w:val="18"/>
                <w:highlight w:val="yellow"/>
              </w:rPr>
              <w:t>Mensual</w:t>
            </w:r>
          </w:p>
        </w:tc>
      </w:tr>
      <w:tr w:rsidR="00081FE7" w:rsidRPr="00081FE7" w:rsidTr="00A03FD7">
        <w:trPr>
          <w:trHeight w:val="543"/>
        </w:trPr>
        <w:tc>
          <w:tcPr>
            <w:tcW w:w="1691" w:type="dxa"/>
            <w:vMerge w:val="restart"/>
            <w:tcBorders>
              <w:top w:val="single" w:sz="8" w:space="0" w:color="5B9BD5"/>
              <w:left w:val="single" w:sz="8" w:space="0" w:color="366092"/>
              <w:bottom w:val="single" w:sz="8" w:space="0" w:color="366092"/>
              <w:right w:val="single" w:sz="8" w:space="0" w:color="366092"/>
            </w:tcBorders>
            <w:shd w:val="clear" w:color="000000" w:fill="DCE6F1"/>
            <w:vAlign w:val="center"/>
            <w:hideMark/>
          </w:tcPr>
          <w:p w:rsidR="00081FE7" w:rsidRPr="00081FE7" w:rsidRDefault="00081FE7" w:rsidP="00A03FD7">
            <w:pPr>
              <w:jc w:val="center"/>
              <w:rPr>
                <w:rFonts w:ascii="Cambria" w:hAnsi="Cambria"/>
                <w:sz w:val="20"/>
                <w:szCs w:val="20"/>
              </w:rPr>
            </w:pPr>
            <w:r w:rsidRPr="00081FE7">
              <w:rPr>
                <w:rFonts w:ascii="Cambria" w:hAnsi="Cambria"/>
                <w:sz w:val="20"/>
                <w:szCs w:val="20"/>
              </w:rPr>
              <w:t>Responsabilidad</w:t>
            </w:r>
          </w:p>
        </w:tc>
        <w:tc>
          <w:tcPr>
            <w:tcW w:w="567"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20"/>
                <w:szCs w:val="20"/>
              </w:rPr>
            </w:pPr>
            <w:r w:rsidRPr="00081FE7">
              <w:rPr>
                <w:rFonts w:ascii="Cambria" w:hAnsi="Cambria"/>
                <w:b/>
                <w:bCs/>
                <w:sz w:val="20"/>
                <w:szCs w:val="20"/>
              </w:rPr>
              <w:t>3.1</w:t>
            </w:r>
          </w:p>
        </w:tc>
        <w:tc>
          <w:tcPr>
            <w:tcW w:w="3119"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 xml:space="preserve">Elaborar y publicar el Informe con los resultados de las actividades realizadas en el marco de la </w:t>
            </w:r>
            <w:proofErr w:type="spellStart"/>
            <w:r w:rsidRPr="00081FE7">
              <w:rPr>
                <w:rFonts w:ascii="Cambria" w:hAnsi="Cambria"/>
                <w:i/>
                <w:iCs/>
                <w:sz w:val="18"/>
                <w:szCs w:val="18"/>
              </w:rPr>
              <w:t>RdC</w:t>
            </w:r>
            <w:proofErr w:type="spellEnd"/>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Informe Elaborado y Publicado</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D0547C" w:rsidP="00A03FD7">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tc>
        <w:tc>
          <w:tcPr>
            <w:tcW w:w="1275" w:type="dxa"/>
            <w:tcBorders>
              <w:top w:val="single" w:sz="8" w:space="0" w:color="366092"/>
              <w:left w:val="nil"/>
              <w:bottom w:val="single" w:sz="8" w:space="0" w:color="366092"/>
              <w:right w:val="single" w:sz="8" w:space="0" w:color="366092"/>
            </w:tcBorders>
            <w:shd w:val="clear" w:color="000000" w:fill="FFFFFF"/>
            <w:noWrap/>
            <w:vAlign w:val="center"/>
          </w:tcPr>
          <w:p w:rsidR="00081FE7" w:rsidRPr="00081FE7" w:rsidRDefault="00081FE7" w:rsidP="00A03FD7">
            <w:pPr>
              <w:jc w:val="center"/>
              <w:rPr>
                <w:rFonts w:ascii="Cambria" w:hAnsi="Cambria"/>
                <w:sz w:val="18"/>
                <w:szCs w:val="18"/>
                <w:highlight w:val="yellow"/>
              </w:rPr>
            </w:pPr>
            <w:r w:rsidRPr="00081FE7">
              <w:rPr>
                <w:rFonts w:ascii="Cambria" w:hAnsi="Cambria"/>
                <w:sz w:val="18"/>
                <w:szCs w:val="18"/>
              </w:rPr>
              <w:t>Diciembre de 202</w:t>
            </w:r>
            <w:r w:rsidR="00D0547C">
              <w:rPr>
                <w:rFonts w:ascii="Cambria" w:hAnsi="Cambria"/>
                <w:sz w:val="18"/>
                <w:szCs w:val="18"/>
              </w:rPr>
              <w:t>3</w:t>
            </w:r>
          </w:p>
        </w:tc>
      </w:tr>
      <w:tr w:rsidR="00081FE7" w:rsidRPr="00081FE7" w:rsidTr="00A03FD7">
        <w:trPr>
          <w:trHeight w:val="723"/>
        </w:trPr>
        <w:tc>
          <w:tcPr>
            <w:tcW w:w="1691" w:type="dxa"/>
            <w:vMerge/>
            <w:tcBorders>
              <w:top w:val="single" w:sz="8" w:space="0" w:color="366092"/>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sz w:val="20"/>
                <w:szCs w:val="20"/>
              </w:rPr>
            </w:pPr>
          </w:p>
        </w:tc>
        <w:tc>
          <w:tcPr>
            <w:tcW w:w="567"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20"/>
                <w:szCs w:val="20"/>
              </w:rPr>
            </w:pPr>
            <w:r w:rsidRPr="00081FE7">
              <w:rPr>
                <w:rFonts w:ascii="Cambria" w:hAnsi="Cambria"/>
                <w:b/>
                <w:bCs/>
                <w:sz w:val="20"/>
                <w:szCs w:val="20"/>
              </w:rPr>
              <w:t>3.2</w:t>
            </w:r>
          </w:p>
        </w:tc>
        <w:tc>
          <w:tcPr>
            <w:tcW w:w="3119"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Generar Acciones de Mejora con base en las Encuestas de Percepción Aplicadas a los Grupos de Valor</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Acciones de Mejora Generadas de las Encuestas de Percepción</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D0547C" w:rsidP="00A03FD7">
            <w:pPr>
              <w:jc w:val="center"/>
              <w:rPr>
                <w:rFonts w:ascii="Cambria" w:hAnsi="Cambria"/>
                <w:sz w:val="18"/>
                <w:szCs w:val="18"/>
              </w:rPr>
            </w:pPr>
            <w:r>
              <w:rPr>
                <w:rFonts w:ascii="Cambria" w:hAnsi="Cambria"/>
                <w:sz w:val="18"/>
                <w:szCs w:val="18"/>
              </w:rPr>
              <w:t>Grupo de Comunicaciones</w:t>
            </w:r>
            <w:r w:rsidR="00081FE7" w:rsidRPr="00081FE7">
              <w:rPr>
                <w:rFonts w:ascii="Cambria" w:hAnsi="Cambria"/>
                <w:sz w:val="18"/>
                <w:szCs w:val="18"/>
              </w:rPr>
              <w:t>; Todas las áreas</w:t>
            </w:r>
          </w:p>
        </w:tc>
        <w:tc>
          <w:tcPr>
            <w:tcW w:w="1275" w:type="dxa"/>
            <w:tcBorders>
              <w:top w:val="single" w:sz="8" w:space="0" w:color="366092"/>
              <w:left w:val="nil"/>
              <w:bottom w:val="single" w:sz="8" w:space="0" w:color="366092"/>
              <w:right w:val="single" w:sz="8" w:space="0" w:color="366092"/>
            </w:tcBorders>
            <w:shd w:val="clear" w:color="000000" w:fill="FFFFFF"/>
            <w:noWrap/>
            <w:vAlign w:val="center"/>
          </w:tcPr>
          <w:p w:rsidR="00081FE7" w:rsidRPr="00081FE7" w:rsidRDefault="00D0547C" w:rsidP="00A03FD7">
            <w:pPr>
              <w:jc w:val="center"/>
              <w:rPr>
                <w:rFonts w:ascii="Cambria" w:hAnsi="Cambria"/>
                <w:sz w:val="18"/>
                <w:szCs w:val="18"/>
                <w:highlight w:val="yellow"/>
              </w:rPr>
            </w:pPr>
            <w:r>
              <w:rPr>
                <w:rFonts w:ascii="Cambria" w:hAnsi="Cambria"/>
                <w:sz w:val="18"/>
                <w:szCs w:val="18"/>
              </w:rPr>
              <w:t>Permanente</w:t>
            </w:r>
          </w:p>
        </w:tc>
      </w:tr>
      <w:tr w:rsidR="00081FE7" w:rsidRPr="00081FE7" w:rsidTr="00A03FD7">
        <w:trPr>
          <w:trHeight w:val="1035"/>
        </w:trPr>
        <w:tc>
          <w:tcPr>
            <w:tcW w:w="1691" w:type="dxa"/>
            <w:vMerge/>
            <w:tcBorders>
              <w:top w:val="single" w:sz="8" w:space="0" w:color="366092"/>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sz w:val="20"/>
                <w:szCs w:val="20"/>
              </w:rPr>
            </w:pPr>
          </w:p>
        </w:tc>
        <w:tc>
          <w:tcPr>
            <w:tcW w:w="567"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20"/>
                <w:szCs w:val="20"/>
              </w:rPr>
            </w:pPr>
            <w:r w:rsidRPr="00081FE7">
              <w:rPr>
                <w:rFonts w:ascii="Cambria" w:hAnsi="Cambria"/>
                <w:b/>
                <w:bCs/>
                <w:sz w:val="20"/>
                <w:szCs w:val="20"/>
              </w:rPr>
              <w:t>3.4</w:t>
            </w:r>
          </w:p>
        </w:tc>
        <w:tc>
          <w:tcPr>
            <w:tcW w:w="3119"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 xml:space="preserve">Participar Activamente en la Jornada </w:t>
            </w:r>
            <w:r w:rsidR="00D0547C">
              <w:rPr>
                <w:rFonts w:ascii="Cambria" w:hAnsi="Cambria"/>
                <w:i/>
                <w:iCs/>
                <w:sz w:val="18"/>
                <w:szCs w:val="18"/>
              </w:rPr>
              <w:t>del Día de la Transparencia 2023</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D0547C">
            <w:pPr>
              <w:jc w:val="center"/>
              <w:rPr>
                <w:rFonts w:ascii="Cambria" w:hAnsi="Cambria"/>
                <w:sz w:val="18"/>
                <w:szCs w:val="18"/>
              </w:rPr>
            </w:pPr>
            <w:r w:rsidRPr="00081FE7">
              <w:rPr>
                <w:rFonts w:ascii="Cambria" w:hAnsi="Cambria"/>
                <w:sz w:val="18"/>
                <w:szCs w:val="18"/>
              </w:rPr>
              <w:t>Evento día de la Transparencia</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 xml:space="preserve">Dirección General; </w:t>
            </w:r>
            <w:r w:rsidR="00D0547C">
              <w:rPr>
                <w:rFonts w:ascii="Cambria" w:hAnsi="Cambria"/>
                <w:sz w:val="18"/>
                <w:szCs w:val="18"/>
              </w:rPr>
              <w:t xml:space="preserve">Grupo de </w:t>
            </w:r>
            <w:r w:rsidRPr="00081FE7">
              <w:rPr>
                <w:rFonts w:ascii="Cambria" w:hAnsi="Cambria"/>
                <w:sz w:val="18"/>
                <w:szCs w:val="18"/>
              </w:rPr>
              <w:t>Comunicaciones;</w:t>
            </w:r>
            <w:r w:rsidRPr="00081FE7">
              <w:rPr>
                <w:rFonts w:ascii="Cambria" w:hAnsi="Cambria"/>
                <w:sz w:val="18"/>
                <w:szCs w:val="18"/>
              </w:rPr>
              <w:br/>
              <w:t>Subdirección de Análisis Estratégico;</w:t>
            </w:r>
          </w:p>
        </w:tc>
        <w:tc>
          <w:tcPr>
            <w:tcW w:w="1275" w:type="dxa"/>
            <w:tcBorders>
              <w:top w:val="single" w:sz="8" w:space="0" w:color="366092"/>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Anual</w:t>
            </w:r>
          </w:p>
        </w:tc>
      </w:tr>
    </w:tbl>
    <w:p w:rsidR="00081FE7" w:rsidRPr="00081FE7" w:rsidRDefault="00081FE7" w:rsidP="00081FE7">
      <w:pPr>
        <w:pStyle w:val="Sinespaciado"/>
        <w:ind w:left="0" w:right="55" w:firstLine="0"/>
      </w:pPr>
    </w:p>
    <w:p w:rsidR="00081FE7" w:rsidRPr="00081FE7" w:rsidRDefault="00081FE7" w:rsidP="00081FE7">
      <w:pPr>
        <w:pStyle w:val="Sinespaciado"/>
        <w:numPr>
          <w:ilvl w:val="1"/>
          <w:numId w:val="31"/>
        </w:numPr>
        <w:ind w:left="567" w:right="55" w:hanging="567"/>
        <w:rPr>
          <w:b/>
          <w:sz w:val="22"/>
        </w:rPr>
      </w:pPr>
      <w:r w:rsidRPr="00081FE7">
        <w:rPr>
          <w:b/>
          <w:sz w:val="22"/>
        </w:rPr>
        <w:t>MECANISMOS PARA MEJORAR LA ATENCIÓN AL CIUDADANO</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Con la implementación de los sistemas de gestión, en los que se incluye el principio “enfoque al cliente”, y con los recientes adelantos tecnológicos en las áreas de información y comunicación, es común encontrar herramientas automatizadas para optimizar la atención a la ciudadanía, entre las que se encuentran la caracterización de bienes y servicios, la implementación de canales de información y atención al ciudadano, estrategia de racionalización de trámites y de gobierno digital, entre las más conocidas.</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Así mismo, el Gobierno Nacional ha venido fortaleciendo estos mecanismos como la aprobación del Documento CONPES 3785 de 2013, a través del cual se establece la Política Nacional de Eficiencia Administrativa al Servicio del Ciudadano.</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La gestión del servicio al ciudadano debe ser entendida como una labor integral, que requiere total articulación entre los diferentes procesos y áreas al interior de la entidad, un compromiso expreso de la Dirección General y gestión de los recursos necesarios para la ejecución de acciones e iniciativas que busquen garantizar el ejercicio de los derechos de los ciudadanos.</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La UIAF suministra información de sus servicios a la ciudadanía, facilitando la interacción con los usuarios, mediante la disposición y uso de mecanismos y/o canales de comunicación como el sitio web, la atención presencial, la línea telefónica, el correo electrónico, entre otros.</w:t>
      </w:r>
    </w:p>
    <w:p w:rsidR="00081FE7" w:rsidRPr="00081FE7" w:rsidRDefault="00081FE7" w:rsidP="00081FE7">
      <w:pPr>
        <w:pStyle w:val="Sinespaciado"/>
        <w:ind w:left="0" w:right="55" w:firstLine="0"/>
        <w:rPr>
          <w:sz w:val="22"/>
        </w:rPr>
      </w:pPr>
    </w:p>
    <w:tbl>
      <w:tblPr>
        <w:tblW w:w="9982" w:type="dxa"/>
        <w:tblCellMar>
          <w:left w:w="70" w:type="dxa"/>
          <w:right w:w="70" w:type="dxa"/>
        </w:tblCellMar>
        <w:tblLook w:val="04A0" w:firstRow="1" w:lastRow="0" w:firstColumn="1" w:lastColumn="0" w:noHBand="0" w:noVBand="1"/>
      </w:tblPr>
      <w:tblGrid>
        <w:gridCol w:w="2405"/>
        <w:gridCol w:w="425"/>
        <w:gridCol w:w="2268"/>
        <w:gridCol w:w="1774"/>
        <w:gridCol w:w="1701"/>
        <w:gridCol w:w="1409"/>
      </w:tblGrid>
      <w:tr w:rsidR="00081FE7" w:rsidRPr="00081FE7" w:rsidTr="00A03FD7">
        <w:trPr>
          <w:trHeight w:val="172"/>
          <w:tblHeader/>
        </w:trPr>
        <w:tc>
          <w:tcPr>
            <w:tcW w:w="9982" w:type="dxa"/>
            <w:gridSpan w:val="6"/>
            <w:tcBorders>
              <w:top w:val="single" w:sz="4" w:space="0" w:color="366092"/>
              <w:left w:val="single" w:sz="4" w:space="0" w:color="366092"/>
              <w:bottom w:val="single" w:sz="4" w:space="0" w:color="366092"/>
              <w:right w:val="single" w:sz="4"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Plan Anticorrupción y de Atención al Ciudadano</w:t>
            </w:r>
          </w:p>
        </w:tc>
      </w:tr>
      <w:tr w:rsidR="00081FE7" w:rsidRPr="00081FE7" w:rsidTr="00A03FD7">
        <w:trPr>
          <w:trHeight w:val="218"/>
          <w:tblHeader/>
        </w:trPr>
        <w:tc>
          <w:tcPr>
            <w:tcW w:w="9982" w:type="dxa"/>
            <w:gridSpan w:val="6"/>
            <w:tcBorders>
              <w:top w:val="single" w:sz="4" w:space="0" w:color="366092"/>
              <w:left w:val="single" w:sz="4" w:space="0" w:color="366092"/>
              <w:bottom w:val="single" w:sz="4" w:space="0" w:color="366092"/>
              <w:right w:val="single" w:sz="4" w:space="0" w:color="366092"/>
            </w:tcBorders>
            <w:shd w:val="clear" w:color="000000" w:fill="B8CCE4"/>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Componente 4:  Servicio al Ciudadano</w:t>
            </w:r>
          </w:p>
        </w:tc>
      </w:tr>
      <w:tr w:rsidR="00081FE7" w:rsidRPr="00081FE7" w:rsidTr="00A03FD7">
        <w:trPr>
          <w:trHeight w:val="278"/>
          <w:tblHeader/>
        </w:trPr>
        <w:tc>
          <w:tcPr>
            <w:tcW w:w="2405" w:type="dxa"/>
            <w:tcBorders>
              <w:top w:val="nil"/>
              <w:left w:val="single" w:sz="4" w:space="0" w:color="366092"/>
              <w:bottom w:val="single" w:sz="4" w:space="0" w:color="366092"/>
              <w:right w:val="single" w:sz="4"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Subcomponente</w:t>
            </w:r>
          </w:p>
        </w:tc>
        <w:tc>
          <w:tcPr>
            <w:tcW w:w="2693" w:type="dxa"/>
            <w:gridSpan w:val="2"/>
            <w:tcBorders>
              <w:top w:val="single" w:sz="4" w:space="0" w:color="366092"/>
              <w:left w:val="nil"/>
              <w:bottom w:val="single" w:sz="4" w:space="0" w:color="366092"/>
              <w:right w:val="single" w:sz="4"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Actividades</w:t>
            </w:r>
          </w:p>
        </w:tc>
        <w:tc>
          <w:tcPr>
            <w:tcW w:w="1774"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Meta o Producto</w:t>
            </w:r>
          </w:p>
        </w:tc>
        <w:tc>
          <w:tcPr>
            <w:tcW w:w="1701" w:type="dxa"/>
            <w:tcBorders>
              <w:top w:val="nil"/>
              <w:left w:val="nil"/>
              <w:bottom w:val="single" w:sz="4" w:space="0" w:color="366092"/>
              <w:right w:val="single" w:sz="4"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 xml:space="preserve">Responsable </w:t>
            </w:r>
          </w:p>
        </w:tc>
        <w:tc>
          <w:tcPr>
            <w:tcW w:w="1409"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Fecha Programada</w:t>
            </w:r>
          </w:p>
        </w:tc>
      </w:tr>
      <w:tr w:rsidR="00081FE7" w:rsidRPr="00081FE7" w:rsidTr="00A03FD7">
        <w:trPr>
          <w:trHeight w:val="678"/>
        </w:trPr>
        <w:tc>
          <w:tcPr>
            <w:tcW w:w="2405" w:type="dxa"/>
            <w:vMerge w:val="restart"/>
            <w:tcBorders>
              <w:top w:val="nil"/>
              <w:left w:val="single" w:sz="4" w:space="0" w:color="366092"/>
              <w:bottom w:val="single" w:sz="4" w:space="0" w:color="366092"/>
              <w:right w:val="single" w:sz="4" w:space="0" w:color="366092"/>
            </w:tcBorders>
            <w:shd w:val="clear" w:color="000000" w:fill="DCE6F1"/>
            <w:vAlign w:val="center"/>
            <w:hideMark/>
          </w:tcPr>
          <w:p w:rsidR="00081FE7" w:rsidRPr="00081FE7" w:rsidRDefault="00081FE7" w:rsidP="00A03FD7">
            <w:pPr>
              <w:rPr>
                <w:rFonts w:ascii="Cambria" w:hAnsi="Cambria"/>
                <w:sz w:val="18"/>
                <w:szCs w:val="18"/>
              </w:rPr>
            </w:pPr>
            <w:r w:rsidRPr="00081FE7">
              <w:rPr>
                <w:rFonts w:ascii="Cambria" w:hAnsi="Cambria"/>
                <w:sz w:val="18"/>
                <w:szCs w:val="18"/>
              </w:rPr>
              <w:t xml:space="preserve">Estructura Administrativa y Direccionamiento Estratégico </w:t>
            </w:r>
          </w:p>
        </w:tc>
        <w:tc>
          <w:tcPr>
            <w:tcW w:w="425"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1.1</w:t>
            </w:r>
          </w:p>
        </w:tc>
        <w:tc>
          <w:tcPr>
            <w:tcW w:w="2268"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Actualizar y publicar la caracterización de usuarios, ciudadanos y grupos de valor de la UIAF</w:t>
            </w:r>
          </w:p>
        </w:tc>
        <w:tc>
          <w:tcPr>
            <w:tcW w:w="1774"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Documento de Caracterización de Usuarios, Ciudadanos y Grupos de Valor</w:t>
            </w:r>
          </w:p>
        </w:tc>
        <w:tc>
          <w:tcPr>
            <w:tcW w:w="1701"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Todas las Áreas</w:t>
            </w:r>
          </w:p>
        </w:tc>
        <w:tc>
          <w:tcPr>
            <w:tcW w:w="1409" w:type="dxa"/>
            <w:tcBorders>
              <w:top w:val="nil"/>
              <w:left w:val="nil"/>
              <w:bottom w:val="single" w:sz="4" w:space="0" w:color="366092"/>
              <w:right w:val="single" w:sz="4" w:space="0" w:color="366092"/>
            </w:tcBorders>
            <w:shd w:val="clear" w:color="000000" w:fill="FFFFFF"/>
            <w:noWrap/>
            <w:vAlign w:val="center"/>
            <w:hideMark/>
          </w:tcPr>
          <w:p w:rsidR="00081FE7" w:rsidRPr="00081FE7" w:rsidRDefault="00486A43" w:rsidP="00A03FD7">
            <w:pPr>
              <w:jc w:val="center"/>
              <w:rPr>
                <w:rFonts w:ascii="Cambria" w:hAnsi="Cambria"/>
                <w:sz w:val="18"/>
                <w:szCs w:val="18"/>
              </w:rPr>
            </w:pPr>
            <w:r>
              <w:rPr>
                <w:rFonts w:ascii="Cambria" w:hAnsi="Cambria"/>
                <w:sz w:val="18"/>
                <w:szCs w:val="18"/>
              </w:rPr>
              <w:t>31-Ago-2023</w:t>
            </w:r>
          </w:p>
        </w:tc>
      </w:tr>
      <w:tr w:rsidR="00081FE7" w:rsidRPr="00081FE7" w:rsidTr="00A03FD7">
        <w:trPr>
          <w:trHeight w:val="70"/>
        </w:trPr>
        <w:tc>
          <w:tcPr>
            <w:tcW w:w="2405" w:type="dxa"/>
            <w:vMerge/>
            <w:tcBorders>
              <w:top w:val="nil"/>
              <w:left w:val="single" w:sz="4" w:space="0" w:color="366092"/>
              <w:bottom w:val="single" w:sz="4" w:space="0" w:color="366092"/>
              <w:right w:val="single" w:sz="4" w:space="0" w:color="366092"/>
            </w:tcBorders>
            <w:vAlign w:val="center"/>
            <w:hideMark/>
          </w:tcPr>
          <w:p w:rsidR="00081FE7" w:rsidRPr="00081FE7" w:rsidRDefault="00081FE7" w:rsidP="00A03FD7">
            <w:pPr>
              <w:rPr>
                <w:rFonts w:ascii="Cambria" w:hAnsi="Cambria"/>
                <w:sz w:val="18"/>
                <w:szCs w:val="18"/>
              </w:rPr>
            </w:pPr>
          </w:p>
        </w:tc>
        <w:tc>
          <w:tcPr>
            <w:tcW w:w="425"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1.2</w:t>
            </w:r>
          </w:p>
        </w:tc>
        <w:tc>
          <w:tcPr>
            <w:tcW w:w="2268"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Revisar, actualizar y/o definir las encuestas de percepción de los usuarios internos y externos</w:t>
            </w:r>
          </w:p>
        </w:tc>
        <w:tc>
          <w:tcPr>
            <w:tcW w:w="1774"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Encuestas de percepción de los usuarios internos y externos</w:t>
            </w:r>
          </w:p>
        </w:tc>
        <w:tc>
          <w:tcPr>
            <w:tcW w:w="1701"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Áreas responsables de proceso</w:t>
            </w:r>
          </w:p>
        </w:tc>
        <w:tc>
          <w:tcPr>
            <w:tcW w:w="1409" w:type="dxa"/>
            <w:tcBorders>
              <w:top w:val="nil"/>
              <w:left w:val="nil"/>
              <w:bottom w:val="single" w:sz="4" w:space="0" w:color="366092"/>
              <w:right w:val="single" w:sz="4" w:space="0" w:color="366092"/>
            </w:tcBorders>
            <w:shd w:val="clear" w:color="000000" w:fill="FFFFFF"/>
            <w:noWrap/>
            <w:vAlign w:val="center"/>
            <w:hideMark/>
          </w:tcPr>
          <w:p w:rsidR="00081FE7" w:rsidRPr="00081FE7" w:rsidRDefault="00486A43" w:rsidP="00A03FD7">
            <w:pPr>
              <w:jc w:val="center"/>
              <w:rPr>
                <w:rFonts w:ascii="Cambria" w:hAnsi="Cambria"/>
                <w:sz w:val="18"/>
                <w:szCs w:val="18"/>
              </w:rPr>
            </w:pPr>
            <w:r>
              <w:rPr>
                <w:rFonts w:ascii="Cambria" w:hAnsi="Cambria"/>
                <w:sz w:val="18"/>
                <w:szCs w:val="18"/>
              </w:rPr>
              <w:t>30-Jun-2023</w:t>
            </w:r>
          </w:p>
        </w:tc>
      </w:tr>
      <w:tr w:rsidR="00081FE7" w:rsidRPr="00081FE7" w:rsidTr="00A03FD7">
        <w:trPr>
          <w:trHeight w:val="945"/>
        </w:trPr>
        <w:tc>
          <w:tcPr>
            <w:tcW w:w="2405" w:type="dxa"/>
            <w:vMerge w:val="restart"/>
            <w:tcBorders>
              <w:top w:val="nil"/>
              <w:left w:val="single" w:sz="4" w:space="0" w:color="366092"/>
              <w:bottom w:val="single" w:sz="4" w:space="0" w:color="366092"/>
              <w:right w:val="single" w:sz="4" w:space="0" w:color="366092"/>
            </w:tcBorders>
            <w:shd w:val="clear" w:color="000000" w:fill="DCE6F1"/>
            <w:vAlign w:val="center"/>
            <w:hideMark/>
          </w:tcPr>
          <w:p w:rsidR="00081FE7" w:rsidRPr="00081FE7" w:rsidRDefault="00081FE7" w:rsidP="00A03FD7">
            <w:pPr>
              <w:rPr>
                <w:rFonts w:ascii="Cambria" w:hAnsi="Cambria"/>
                <w:sz w:val="18"/>
                <w:szCs w:val="18"/>
              </w:rPr>
            </w:pPr>
            <w:r w:rsidRPr="00081FE7">
              <w:rPr>
                <w:rFonts w:ascii="Cambria" w:hAnsi="Cambria"/>
                <w:sz w:val="18"/>
                <w:szCs w:val="18"/>
              </w:rPr>
              <w:t>Fortalecimiento de los Canales de Atención</w:t>
            </w:r>
          </w:p>
        </w:tc>
        <w:tc>
          <w:tcPr>
            <w:tcW w:w="425"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2.1</w:t>
            </w:r>
          </w:p>
        </w:tc>
        <w:tc>
          <w:tcPr>
            <w:tcW w:w="2268"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Gestionar oportunamente las peticiones, quejas, sugerencias, reclamos,  denuncias y solicitudes de información pública</w:t>
            </w:r>
          </w:p>
        </w:tc>
        <w:tc>
          <w:tcPr>
            <w:tcW w:w="1774"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Informes Mensuales de PQRS Elaborados y Publicados</w:t>
            </w:r>
          </w:p>
        </w:tc>
        <w:tc>
          <w:tcPr>
            <w:tcW w:w="1701"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486A43">
            <w:pPr>
              <w:jc w:val="center"/>
              <w:rPr>
                <w:rFonts w:ascii="Cambria" w:hAnsi="Cambria"/>
                <w:sz w:val="18"/>
                <w:szCs w:val="18"/>
              </w:rPr>
            </w:pPr>
            <w:r w:rsidRPr="00081FE7">
              <w:rPr>
                <w:rFonts w:ascii="Cambria" w:hAnsi="Cambria"/>
                <w:sz w:val="18"/>
                <w:szCs w:val="18"/>
              </w:rPr>
              <w:t>Subdirección Administrativa y Financiera</w:t>
            </w:r>
          </w:p>
        </w:tc>
        <w:tc>
          <w:tcPr>
            <w:tcW w:w="1409"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Mensual</w:t>
            </w:r>
          </w:p>
          <w:p w:rsidR="00081FE7" w:rsidRPr="00081FE7" w:rsidRDefault="00486A43" w:rsidP="00A03FD7">
            <w:pPr>
              <w:jc w:val="center"/>
              <w:rPr>
                <w:rFonts w:ascii="Cambria" w:hAnsi="Cambria"/>
                <w:sz w:val="18"/>
                <w:szCs w:val="18"/>
              </w:rPr>
            </w:pPr>
            <w:r>
              <w:rPr>
                <w:rFonts w:ascii="Cambria" w:hAnsi="Cambria"/>
                <w:sz w:val="18"/>
                <w:szCs w:val="18"/>
              </w:rPr>
              <w:t>31-Dic-2023</w:t>
            </w:r>
          </w:p>
        </w:tc>
      </w:tr>
      <w:tr w:rsidR="00081FE7" w:rsidRPr="00081FE7" w:rsidTr="00A03FD7">
        <w:trPr>
          <w:trHeight w:val="945"/>
        </w:trPr>
        <w:tc>
          <w:tcPr>
            <w:tcW w:w="2405" w:type="dxa"/>
            <w:vMerge/>
            <w:tcBorders>
              <w:top w:val="nil"/>
              <w:left w:val="single" w:sz="4" w:space="0" w:color="366092"/>
              <w:bottom w:val="single" w:sz="4" w:space="0" w:color="366092"/>
              <w:right w:val="single" w:sz="4" w:space="0" w:color="366092"/>
            </w:tcBorders>
            <w:shd w:val="clear" w:color="000000" w:fill="DCE6F1"/>
            <w:vAlign w:val="center"/>
          </w:tcPr>
          <w:p w:rsidR="00081FE7" w:rsidRPr="00081FE7" w:rsidRDefault="00081FE7" w:rsidP="00A03FD7">
            <w:pPr>
              <w:rPr>
                <w:rFonts w:ascii="Cambria" w:hAnsi="Cambria"/>
                <w:sz w:val="18"/>
                <w:szCs w:val="18"/>
              </w:rPr>
            </w:pPr>
          </w:p>
        </w:tc>
        <w:tc>
          <w:tcPr>
            <w:tcW w:w="425" w:type="dxa"/>
            <w:tcBorders>
              <w:top w:val="nil"/>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2.2</w:t>
            </w:r>
          </w:p>
        </w:tc>
        <w:tc>
          <w:tcPr>
            <w:tcW w:w="2268" w:type="dxa"/>
            <w:tcBorders>
              <w:top w:val="nil"/>
              <w:left w:val="nil"/>
              <w:bottom w:val="single" w:sz="4" w:space="0" w:color="366092"/>
              <w:right w:val="single" w:sz="4" w:space="0" w:color="366092"/>
            </w:tcBorders>
            <w:shd w:val="clear" w:color="000000" w:fill="FFFFFF"/>
            <w:vAlign w:val="center"/>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Elaborar y/o actualizar y publicar el protocolo de atención al ciudadano</w:t>
            </w:r>
          </w:p>
        </w:tc>
        <w:tc>
          <w:tcPr>
            <w:tcW w:w="1774" w:type="dxa"/>
            <w:tcBorders>
              <w:top w:val="nil"/>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Protocolo de atención al ciudadano elaborado y publicado</w:t>
            </w:r>
          </w:p>
        </w:tc>
        <w:tc>
          <w:tcPr>
            <w:tcW w:w="1701" w:type="dxa"/>
            <w:tcBorders>
              <w:top w:val="nil"/>
              <w:left w:val="nil"/>
              <w:bottom w:val="single" w:sz="4" w:space="0" w:color="366092"/>
              <w:right w:val="single" w:sz="4" w:space="0" w:color="366092"/>
            </w:tcBorders>
            <w:shd w:val="clear" w:color="000000" w:fill="FFFFFF"/>
            <w:vAlign w:val="center"/>
          </w:tcPr>
          <w:p w:rsidR="00081FE7" w:rsidRPr="00081FE7" w:rsidRDefault="00081FE7" w:rsidP="00336E13">
            <w:pPr>
              <w:jc w:val="center"/>
              <w:rPr>
                <w:rFonts w:ascii="Cambria" w:hAnsi="Cambria"/>
                <w:sz w:val="18"/>
                <w:szCs w:val="18"/>
              </w:rPr>
            </w:pPr>
            <w:r w:rsidRPr="00081FE7">
              <w:rPr>
                <w:rFonts w:ascii="Cambria" w:hAnsi="Cambria"/>
                <w:sz w:val="18"/>
                <w:szCs w:val="18"/>
              </w:rPr>
              <w:t>Subdirección Administrativa y Financiera</w:t>
            </w:r>
          </w:p>
        </w:tc>
        <w:tc>
          <w:tcPr>
            <w:tcW w:w="1409" w:type="dxa"/>
            <w:tcBorders>
              <w:top w:val="nil"/>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3</w:t>
            </w:r>
            <w:r w:rsidR="00336E13">
              <w:rPr>
                <w:rFonts w:ascii="Cambria" w:hAnsi="Cambria"/>
                <w:sz w:val="18"/>
                <w:szCs w:val="18"/>
              </w:rPr>
              <w:t>0-Abr-2023</w:t>
            </w:r>
          </w:p>
        </w:tc>
      </w:tr>
      <w:tr w:rsidR="00081FE7" w:rsidRPr="00081FE7" w:rsidTr="00A03FD7">
        <w:trPr>
          <w:trHeight w:val="945"/>
        </w:trPr>
        <w:tc>
          <w:tcPr>
            <w:tcW w:w="2405" w:type="dxa"/>
            <w:vMerge/>
            <w:tcBorders>
              <w:top w:val="nil"/>
              <w:left w:val="single" w:sz="4" w:space="0" w:color="366092"/>
              <w:bottom w:val="single" w:sz="4" w:space="0" w:color="366092"/>
              <w:right w:val="single" w:sz="4" w:space="0" w:color="366092"/>
            </w:tcBorders>
            <w:vAlign w:val="center"/>
            <w:hideMark/>
          </w:tcPr>
          <w:p w:rsidR="00081FE7" w:rsidRPr="00081FE7" w:rsidRDefault="00081FE7" w:rsidP="00A03FD7">
            <w:pPr>
              <w:rPr>
                <w:rFonts w:ascii="Cambria" w:hAnsi="Cambria"/>
                <w:sz w:val="18"/>
                <w:szCs w:val="18"/>
              </w:rPr>
            </w:pPr>
          </w:p>
        </w:tc>
        <w:tc>
          <w:tcPr>
            <w:tcW w:w="425"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2.3</w:t>
            </w:r>
          </w:p>
        </w:tc>
        <w:tc>
          <w:tcPr>
            <w:tcW w:w="2268"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Divulgar a través de los diferentes canales de atención el protocolo de atención al ciudadano</w:t>
            </w:r>
          </w:p>
        </w:tc>
        <w:tc>
          <w:tcPr>
            <w:tcW w:w="1774"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Protocolo de atención al ciudadano divulgado</w:t>
            </w:r>
          </w:p>
        </w:tc>
        <w:tc>
          <w:tcPr>
            <w:tcW w:w="1701" w:type="dxa"/>
            <w:tcBorders>
              <w:top w:val="nil"/>
              <w:left w:val="nil"/>
              <w:bottom w:val="single" w:sz="4" w:space="0" w:color="366092"/>
              <w:right w:val="single" w:sz="4" w:space="0" w:color="366092"/>
            </w:tcBorders>
            <w:shd w:val="clear" w:color="000000" w:fill="FFFFFF"/>
            <w:vAlign w:val="center"/>
            <w:hideMark/>
          </w:tcPr>
          <w:p w:rsidR="00081FE7" w:rsidRPr="00081FE7" w:rsidRDefault="00336E13" w:rsidP="00A03FD7">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tc>
        <w:tc>
          <w:tcPr>
            <w:tcW w:w="1409" w:type="dxa"/>
            <w:tcBorders>
              <w:top w:val="nil"/>
              <w:left w:val="nil"/>
              <w:bottom w:val="single" w:sz="4" w:space="0" w:color="366092"/>
              <w:right w:val="single" w:sz="4" w:space="0" w:color="366092"/>
            </w:tcBorders>
            <w:shd w:val="clear" w:color="000000" w:fill="FFFFFF"/>
            <w:noWrap/>
            <w:vAlign w:val="center"/>
            <w:hideMark/>
          </w:tcPr>
          <w:p w:rsidR="00081FE7" w:rsidRPr="00081FE7" w:rsidRDefault="00336E13" w:rsidP="00A03FD7">
            <w:pPr>
              <w:jc w:val="center"/>
              <w:rPr>
                <w:rFonts w:ascii="Cambria" w:hAnsi="Cambria"/>
                <w:sz w:val="18"/>
                <w:szCs w:val="18"/>
              </w:rPr>
            </w:pPr>
            <w:r>
              <w:rPr>
                <w:rFonts w:ascii="Cambria" w:hAnsi="Cambria"/>
                <w:sz w:val="18"/>
                <w:szCs w:val="18"/>
              </w:rPr>
              <w:t>30-Jun-2023</w:t>
            </w:r>
          </w:p>
        </w:tc>
      </w:tr>
      <w:tr w:rsidR="00081FE7" w:rsidRPr="00081FE7" w:rsidTr="00A03FD7">
        <w:trPr>
          <w:trHeight w:val="1260"/>
        </w:trPr>
        <w:tc>
          <w:tcPr>
            <w:tcW w:w="2405" w:type="dxa"/>
            <w:tcBorders>
              <w:top w:val="nil"/>
              <w:left w:val="single" w:sz="4" w:space="0" w:color="366092"/>
              <w:bottom w:val="single" w:sz="4" w:space="0" w:color="366092"/>
              <w:right w:val="single" w:sz="4" w:space="0" w:color="366092"/>
            </w:tcBorders>
            <w:shd w:val="clear" w:color="000000" w:fill="DCE6F1"/>
            <w:vAlign w:val="center"/>
            <w:hideMark/>
          </w:tcPr>
          <w:p w:rsidR="00081FE7" w:rsidRPr="00081FE7" w:rsidRDefault="00081FE7" w:rsidP="00A03FD7">
            <w:pPr>
              <w:rPr>
                <w:rFonts w:ascii="Cambria" w:hAnsi="Cambria"/>
                <w:sz w:val="18"/>
                <w:szCs w:val="18"/>
              </w:rPr>
            </w:pPr>
            <w:r w:rsidRPr="00081FE7">
              <w:rPr>
                <w:rFonts w:ascii="Cambria" w:hAnsi="Cambria"/>
                <w:sz w:val="18"/>
                <w:szCs w:val="18"/>
              </w:rPr>
              <w:t>Talento Humano</w:t>
            </w:r>
          </w:p>
        </w:tc>
        <w:tc>
          <w:tcPr>
            <w:tcW w:w="425"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3.1</w:t>
            </w:r>
          </w:p>
        </w:tc>
        <w:tc>
          <w:tcPr>
            <w:tcW w:w="2268"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Fortalecer las competencias de los servidores públicos que atienden directamente a los ciudadanos a través de procesos de cualificación</w:t>
            </w:r>
          </w:p>
        </w:tc>
        <w:tc>
          <w:tcPr>
            <w:tcW w:w="1774"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Competencias de los servidores públicos fortalecidas</w:t>
            </w:r>
          </w:p>
        </w:tc>
        <w:tc>
          <w:tcPr>
            <w:tcW w:w="1701"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Subdirección Administrativa y Financiera - Talento Humano</w:t>
            </w:r>
          </w:p>
        </w:tc>
        <w:tc>
          <w:tcPr>
            <w:tcW w:w="1409" w:type="dxa"/>
            <w:tcBorders>
              <w:top w:val="nil"/>
              <w:left w:val="nil"/>
              <w:bottom w:val="single" w:sz="4" w:space="0" w:color="366092"/>
              <w:right w:val="single" w:sz="4" w:space="0" w:color="366092"/>
            </w:tcBorders>
            <w:shd w:val="clear" w:color="000000" w:fill="FFFFFF"/>
            <w:noWrap/>
            <w:vAlign w:val="center"/>
            <w:hideMark/>
          </w:tcPr>
          <w:p w:rsidR="00081FE7" w:rsidRPr="00081FE7" w:rsidRDefault="00336E13" w:rsidP="00A03FD7">
            <w:pPr>
              <w:jc w:val="center"/>
              <w:rPr>
                <w:rFonts w:ascii="Cambria" w:hAnsi="Cambria"/>
                <w:sz w:val="18"/>
                <w:szCs w:val="18"/>
              </w:rPr>
            </w:pPr>
            <w:r>
              <w:rPr>
                <w:rFonts w:ascii="Cambria" w:hAnsi="Cambria"/>
                <w:sz w:val="18"/>
                <w:szCs w:val="18"/>
              </w:rPr>
              <w:t>Permanente</w:t>
            </w:r>
          </w:p>
        </w:tc>
      </w:tr>
      <w:tr w:rsidR="00081FE7" w:rsidRPr="00081FE7" w:rsidTr="00A03FD7">
        <w:trPr>
          <w:trHeight w:val="1260"/>
        </w:trPr>
        <w:tc>
          <w:tcPr>
            <w:tcW w:w="2405" w:type="dxa"/>
            <w:vMerge w:val="restart"/>
            <w:tcBorders>
              <w:top w:val="single" w:sz="4" w:space="0" w:color="366092"/>
              <w:left w:val="single" w:sz="4" w:space="0" w:color="366092"/>
              <w:right w:val="single" w:sz="4" w:space="0" w:color="366092"/>
            </w:tcBorders>
            <w:shd w:val="clear" w:color="000000" w:fill="DCE6F1"/>
            <w:vAlign w:val="center"/>
            <w:hideMark/>
          </w:tcPr>
          <w:p w:rsidR="00081FE7" w:rsidRPr="00081FE7" w:rsidRDefault="00081FE7" w:rsidP="00A03FD7">
            <w:pPr>
              <w:rPr>
                <w:rFonts w:ascii="Cambria" w:hAnsi="Cambria"/>
                <w:sz w:val="18"/>
                <w:szCs w:val="18"/>
              </w:rPr>
            </w:pPr>
            <w:r w:rsidRPr="00081FE7">
              <w:rPr>
                <w:rFonts w:ascii="Cambria" w:hAnsi="Cambria"/>
                <w:sz w:val="18"/>
                <w:szCs w:val="18"/>
              </w:rPr>
              <w:t>Normativo y Procedimental</w:t>
            </w:r>
          </w:p>
        </w:tc>
        <w:tc>
          <w:tcPr>
            <w:tcW w:w="425" w:type="dxa"/>
            <w:tcBorders>
              <w:top w:val="single" w:sz="4" w:space="0" w:color="366092"/>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4.1</w:t>
            </w:r>
          </w:p>
        </w:tc>
        <w:tc>
          <w:tcPr>
            <w:tcW w:w="2268" w:type="dxa"/>
            <w:tcBorders>
              <w:top w:val="single" w:sz="4" w:space="0" w:color="366092"/>
              <w:left w:val="nil"/>
              <w:bottom w:val="single" w:sz="4" w:space="0" w:color="366092"/>
              <w:right w:val="single" w:sz="4"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Revisar y de ser necesario actualizar el procedimiento para la recepción, registro y trámite de las PQRS</w:t>
            </w:r>
          </w:p>
        </w:tc>
        <w:tc>
          <w:tcPr>
            <w:tcW w:w="1774" w:type="dxa"/>
            <w:tcBorders>
              <w:top w:val="single" w:sz="4" w:space="0" w:color="366092"/>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Procedimiento Actualizado</w:t>
            </w:r>
          </w:p>
        </w:tc>
        <w:tc>
          <w:tcPr>
            <w:tcW w:w="1701" w:type="dxa"/>
            <w:tcBorders>
              <w:top w:val="single" w:sz="4" w:space="0" w:color="366092"/>
              <w:left w:val="nil"/>
              <w:bottom w:val="single" w:sz="4" w:space="0" w:color="366092"/>
              <w:right w:val="single" w:sz="4" w:space="0" w:color="366092"/>
            </w:tcBorders>
            <w:shd w:val="clear" w:color="000000" w:fill="FFFFFF"/>
            <w:vAlign w:val="center"/>
            <w:hideMark/>
          </w:tcPr>
          <w:p w:rsidR="00336E13" w:rsidRDefault="00081FE7" w:rsidP="00A03FD7">
            <w:pPr>
              <w:jc w:val="center"/>
              <w:rPr>
                <w:rFonts w:ascii="Cambria" w:hAnsi="Cambria"/>
                <w:sz w:val="18"/>
                <w:szCs w:val="18"/>
              </w:rPr>
            </w:pPr>
            <w:r w:rsidRPr="00081FE7">
              <w:rPr>
                <w:rFonts w:ascii="Cambria" w:hAnsi="Cambria"/>
                <w:sz w:val="18"/>
                <w:szCs w:val="18"/>
              </w:rPr>
              <w:t>Subdirección Administrativa y Financiera</w:t>
            </w:r>
            <w:r w:rsidR="00336E13">
              <w:rPr>
                <w:rFonts w:ascii="Cambria" w:hAnsi="Cambria"/>
                <w:sz w:val="18"/>
                <w:szCs w:val="18"/>
              </w:rPr>
              <w:t>;</w:t>
            </w:r>
          </w:p>
          <w:p w:rsidR="00336E13" w:rsidRDefault="00336E13" w:rsidP="00A03FD7">
            <w:pPr>
              <w:jc w:val="center"/>
              <w:rPr>
                <w:rFonts w:ascii="Cambria" w:hAnsi="Cambria"/>
                <w:sz w:val="18"/>
                <w:szCs w:val="18"/>
              </w:rPr>
            </w:pPr>
          </w:p>
          <w:p w:rsidR="00081FE7" w:rsidRDefault="00336E13" w:rsidP="00A03FD7">
            <w:pPr>
              <w:jc w:val="center"/>
              <w:rPr>
                <w:rFonts w:ascii="Cambria" w:hAnsi="Cambria"/>
                <w:sz w:val="18"/>
                <w:szCs w:val="18"/>
              </w:rPr>
            </w:pPr>
            <w:r>
              <w:rPr>
                <w:rFonts w:ascii="Cambria" w:hAnsi="Cambria"/>
                <w:sz w:val="18"/>
                <w:szCs w:val="18"/>
              </w:rPr>
              <w:t xml:space="preserve">Oficina Asesora de </w:t>
            </w:r>
            <w:r w:rsidR="00081FE7" w:rsidRPr="00081FE7">
              <w:rPr>
                <w:rFonts w:ascii="Cambria" w:hAnsi="Cambria"/>
                <w:sz w:val="18"/>
                <w:szCs w:val="18"/>
              </w:rPr>
              <w:t xml:space="preserve">  Planeación</w:t>
            </w:r>
          </w:p>
          <w:p w:rsidR="00336E13" w:rsidRPr="00081FE7" w:rsidRDefault="00336E13" w:rsidP="00A03FD7">
            <w:pPr>
              <w:jc w:val="center"/>
              <w:rPr>
                <w:rFonts w:ascii="Cambria" w:hAnsi="Cambria"/>
                <w:sz w:val="18"/>
                <w:szCs w:val="18"/>
              </w:rPr>
            </w:pPr>
          </w:p>
          <w:p w:rsidR="00081FE7" w:rsidRPr="00081FE7" w:rsidRDefault="00081FE7" w:rsidP="00A03FD7">
            <w:pPr>
              <w:jc w:val="center"/>
              <w:rPr>
                <w:rFonts w:ascii="Cambria" w:hAnsi="Cambria"/>
                <w:sz w:val="18"/>
                <w:szCs w:val="18"/>
              </w:rPr>
            </w:pPr>
            <w:r w:rsidRPr="00081FE7">
              <w:rPr>
                <w:rFonts w:ascii="Cambria" w:hAnsi="Cambria"/>
                <w:sz w:val="18"/>
                <w:szCs w:val="18"/>
              </w:rPr>
              <w:t>Oficina Asesora Jurídica</w:t>
            </w:r>
          </w:p>
        </w:tc>
        <w:tc>
          <w:tcPr>
            <w:tcW w:w="1409" w:type="dxa"/>
            <w:tcBorders>
              <w:top w:val="single" w:sz="4" w:space="0" w:color="366092"/>
              <w:left w:val="nil"/>
              <w:bottom w:val="single" w:sz="4" w:space="0" w:color="366092"/>
              <w:right w:val="single" w:sz="4" w:space="0" w:color="366092"/>
            </w:tcBorders>
            <w:shd w:val="clear" w:color="000000" w:fill="FFFFFF"/>
            <w:noWrap/>
            <w:vAlign w:val="center"/>
            <w:hideMark/>
          </w:tcPr>
          <w:p w:rsidR="00081FE7" w:rsidRPr="00081FE7" w:rsidRDefault="00336E13" w:rsidP="00A03FD7">
            <w:pPr>
              <w:jc w:val="center"/>
              <w:rPr>
                <w:rFonts w:ascii="Cambria" w:hAnsi="Cambria"/>
                <w:sz w:val="18"/>
                <w:szCs w:val="18"/>
              </w:rPr>
            </w:pPr>
            <w:r>
              <w:rPr>
                <w:rFonts w:ascii="Cambria" w:hAnsi="Cambria"/>
                <w:sz w:val="18"/>
                <w:szCs w:val="18"/>
              </w:rPr>
              <w:t>31-Mar-2023</w:t>
            </w:r>
          </w:p>
        </w:tc>
      </w:tr>
      <w:tr w:rsidR="00081FE7" w:rsidRPr="00081FE7" w:rsidTr="00A03FD7">
        <w:trPr>
          <w:trHeight w:val="928"/>
        </w:trPr>
        <w:tc>
          <w:tcPr>
            <w:tcW w:w="2405" w:type="dxa"/>
            <w:vMerge/>
            <w:tcBorders>
              <w:left w:val="single" w:sz="4" w:space="0" w:color="366092"/>
              <w:right w:val="single" w:sz="4" w:space="0" w:color="366092"/>
            </w:tcBorders>
            <w:shd w:val="clear" w:color="000000" w:fill="DCE6F1"/>
            <w:vAlign w:val="center"/>
          </w:tcPr>
          <w:p w:rsidR="00081FE7" w:rsidRPr="00081FE7" w:rsidRDefault="00081FE7" w:rsidP="00A03FD7">
            <w:pPr>
              <w:rPr>
                <w:rFonts w:ascii="Cambria" w:hAnsi="Cambria"/>
                <w:sz w:val="18"/>
                <w:szCs w:val="18"/>
              </w:rPr>
            </w:pPr>
          </w:p>
        </w:tc>
        <w:tc>
          <w:tcPr>
            <w:tcW w:w="425"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4.2</w:t>
            </w:r>
          </w:p>
        </w:tc>
        <w:tc>
          <w:tcPr>
            <w:tcW w:w="2268"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Elaborar informe de PQRS para identificar oportunidades de mejora en la prestación de los servicios de la entidad</w:t>
            </w:r>
          </w:p>
        </w:tc>
        <w:tc>
          <w:tcPr>
            <w:tcW w:w="1774"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Informes Mensuales de PQRS</w:t>
            </w:r>
          </w:p>
        </w:tc>
        <w:tc>
          <w:tcPr>
            <w:tcW w:w="1701"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336E13">
            <w:pPr>
              <w:jc w:val="center"/>
              <w:rPr>
                <w:rFonts w:ascii="Cambria" w:hAnsi="Cambria"/>
                <w:sz w:val="18"/>
                <w:szCs w:val="18"/>
              </w:rPr>
            </w:pPr>
            <w:r w:rsidRPr="00081FE7">
              <w:rPr>
                <w:rFonts w:ascii="Cambria" w:hAnsi="Cambria"/>
                <w:sz w:val="18"/>
                <w:szCs w:val="18"/>
              </w:rPr>
              <w:t xml:space="preserve">Subdirección </w:t>
            </w:r>
            <w:r w:rsidR="00336E13">
              <w:rPr>
                <w:rFonts w:ascii="Cambria" w:hAnsi="Cambria"/>
                <w:sz w:val="18"/>
                <w:szCs w:val="18"/>
              </w:rPr>
              <w:t>Administrativa y Financiera</w:t>
            </w:r>
          </w:p>
        </w:tc>
        <w:tc>
          <w:tcPr>
            <w:tcW w:w="1409" w:type="dxa"/>
            <w:tcBorders>
              <w:top w:val="single" w:sz="4" w:space="0" w:color="366092"/>
              <w:left w:val="nil"/>
              <w:bottom w:val="single" w:sz="4" w:space="0" w:color="366092"/>
              <w:right w:val="single" w:sz="4" w:space="0" w:color="366092"/>
            </w:tcBorders>
            <w:shd w:val="clear" w:color="000000" w:fill="FFFFFF"/>
            <w:noWrap/>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Mensual</w:t>
            </w:r>
          </w:p>
          <w:p w:rsidR="00081FE7" w:rsidRPr="00081FE7" w:rsidRDefault="00336E13" w:rsidP="00A03FD7">
            <w:pPr>
              <w:jc w:val="center"/>
              <w:rPr>
                <w:rFonts w:ascii="Cambria" w:hAnsi="Cambria"/>
                <w:sz w:val="18"/>
                <w:szCs w:val="18"/>
              </w:rPr>
            </w:pPr>
            <w:r>
              <w:rPr>
                <w:rFonts w:ascii="Cambria" w:hAnsi="Cambria"/>
                <w:sz w:val="18"/>
                <w:szCs w:val="18"/>
              </w:rPr>
              <w:t>31-Dic-2023</w:t>
            </w:r>
          </w:p>
        </w:tc>
      </w:tr>
      <w:tr w:rsidR="00081FE7" w:rsidRPr="00081FE7" w:rsidTr="00A03FD7">
        <w:trPr>
          <w:trHeight w:val="1260"/>
        </w:trPr>
        <w:tc>
          <w:tcPr>
            <w:tcW w:w="2405" w:type="dxa"/>
            <w:vMerge/>
            <w:tcBorders>
              <w:left w:val="single" w:sz="4" w:space="0" w:color="366092"/>
              <w:right w:val="single" w:sz="4" w:space="0" w:color="366092"/>
            </w:tcBorders>
            <w:shd w:val="clear" w:color="000000" w:fill="DCE6F1"/>
            <w:vAlign w:val="center"/>
          </w:tcPr>
          <w:p w:rsidR="00081FE7" w:rsidRPr="00081FE7" w:rsidRDefault="00081FE7" w:rsidP="00A03FD7">
            <w:pPr>
              <w:rPr>
                <w:rFonts w:ascii="Cambria" w:hAnsi="Cambria"/>
                <w:sz w:val="18"/>
                <w:szCs w:val="18"/>
              </w:rPr>
            </w:pPr>
          </w:p>
        </w:tc>
        <w:tc>
          <w:tcPr>
            <w:tcW w:w="425"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4.3</w:t>
            </w:r>
          </w:p>
        </w:tc>
        <w:tc>
          <w:tcPr>
            <w:tcW w:w="2268"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Elaborar y/o actualizar y publicar en medios virtuales y físicos la carta de trato digno al usuario dispuesto por la UIAF</w:t>
            </w:r>
          </w:p>
        </w:tc>
        <w:tc>
          <w:tcPr>
            <w:tcW w:w="1774"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Documento de Carta de Trato Digno Publicado</w:t>
            </w:r>
          </w:p>
        </w:tc>
        <w:tc>
          <w:tcPr>
            <w:tcW w:w="1701"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336E13" w:rsidP="00A03FD7">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p w:rsidR="00336E13" w:rsidRDefault="00336E13" w:rsidP="00A03FD7">
            <w:pPr>
              <w:jc w:val="center"/>
              <w:rPr>
                <w:rFonts w:ascii="Cambria" w:hAnsi="Cambria"/>
                <w:sz w:val="18"/>
                <w:szCs w:val="18"/>
              </w:rPr>
            </w:pPr>
          </w:p>
          <w:p w:rsidR="00081FE7" w:rsidRPr="00081FE7" w:rsidRDefault="00081FE7" w:rsidP="00A03FD7">
            <w:pPr>
              <w:jc w:val="center"/>
              <w:rPr>
                <w:rFonts w:ascii="Cambria" w:hAnsi="Cambria"/>
                <w:sz w:val="18"/>
                <w:szCs w:val="18"/>
              </w:rPr>
            </w:pPr>
            <w:r w:rsidRPr="00081FE7">
              <w:rPr>
                <w:rFonts w:ascii="Cambria" w:hAnsi="Cambria"/>
                <w:sz w:val="18"/>
                <w:szCs w:val="18"/>
              </w:rPr>
              <w:t>Oficina Asesora Jurídica;</w:t>
            </w:r>
          </w:p>
          <w:p w:rsidR="00336E13" w:rsidRDefault="00336E13" w:rsidP="00A03FD7">
            <w:pPr>
              <w:jc w:val="center"/>
              <w:rPr>
                <w:rFonts w:ascii="Cambria" w:hAnsi="Cambria"/>
                <w:sz w:val="18"/>
                <w:szCs w:val="18"/>
              </w:rPr>
            </w:pPr>
          </w:p>
          <w:p w:rsidR="00081FE7" w:rsidRPr="00081FE7" w:rsidRDefault="00081FE7" w:rsidP="00336E13">
            <w:pPr>
              <w:jc w:val="center"/>
              <w:rPr>
                <w:rFonts w:ascii="Cambria" w:hAnsi="Cambria"/>
                <w:sz w:val="18"/>
                <w:szCs w:val="18"/>
              </w:rPr>
            </w:pPr>
            <w:r w:rsidRPr="00081FE7">
              <w:rPr>
                <w:rFonts w:ascii="Cambria" w:hAnsi="Cambria"/>
                <w:sz w:val="18"/>
                <w:szCs w:val="18"/>
              </w:rPr>
              <w:t>Subdirecci</w:t>
            </w:r>
            <w:r w:rsidR="00336E13">
              <w:rPr>
                <w:rFonts w:ascii="Cambria" w:hAnsi="Cambria"/>
                <w:sz w:val="18"/>
                <w:szCs w:val="18"/>
              </w:rPr>
              <w:t>ón Administrativa y Financiera</w:t>
            </w:r>
          </w:p>
        </w:tc>
        <w:tc>
          <w:tcPr>
            <w:tcW w:w="1409" w:type="dxa"/>
            <w:tcBorders>
              <w:top w:val="single" w:sz="4" w:space="0" w:color="366092"/>
              <w:left w:val="nil"/>
              <w:bottom w:val="single" w:sz="4" w:space="0" w:color="366092"/>
              <w:right w:val="single" w:sz="4" w:space="0" w:color="366092"/>
            </w:tcBorders>
            <w:shd w:val="clear" w:color="000000" w:fill="FFFFFF"/>
            <w:noWrap/>
            <w:vAlign w:val="center"/>
          </w:tcPr>
          <w:p w:rsidR="00081FE7" w:rsidRPr="00081FE7" w:rsidRDefault="00336E13" w:rsidP="00336E13">
            <w:pPr>
              <w:jc w:val="center"/>
              <w:rPr>
                <w:rFonts w:ascii="Cambria" w:hAnsi="Cambria"/>
                <w:sz w:val="18"/>
                <w:szCs w:val="18"/>
              </w:rPr>
            </w:pPr>
            <w:r>
              <w:rPr>
                <w:rFonts w:ascii="Cambria" w:hAnsi="Cambria"/>
                <w:sz w:val="18"/>
                <w:szCs w:val="18"/>
              </w:rPr>
              <w:t>28-Feb-2023</w:t>
            </w:r>
          </w:p>
        </w:tc>
      </w:tr>
      <w:tr w:rsidR="00081FE7" w:rsidRPr="00081FE7" w:rsidTr="00A03FD7">
        <w:trPr>
          <w:trHeight w:val="257"/>
        </w:trPr>
        <w:tc>
          <w:tcPr>
            <w:tcW w:w="2405" w:type="dxa"/>
            <w:vMerge/>
            <w:tcBorders>
              <w:left w:val="single" w:sz="4" w:space="0" w:color="366092"/>
              <w:right w:val="single" w:sz="4" w:space="0" w:color="366092"/>
            </w:tcBorders>
            <w:shd w:val="clear" w:color="000000" w:fill="DCE6F1"/>
            <w:vAlign w:val="center"/>
          </w:tcPr>
          <w:p w:rsidR="00081FE7" w:rsidRPr="00081FE7" w:rsidRDefault="00081FE7" w:rsidP="00A03FD7">
            <w:pPr>
              <w:rPr>
                <w:rFonts w:ascii="Cambria" w:hAnsi="Cambria"/>
                <w:sz w:val="18"/>
                <w:szCs w:val="18"/>
              </w:rPr>
            </w:pPr>
          </w:p>
        </w:tc>
        <w:tc>
          <w:tcPr>
            <w:tcW w:w="425"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4.4</w:t>
            </w:r>
          </w:p>
        </w:tc>
        <w:tc>
          <w:tcPr>
            <w:tcW w:w="2268"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Revisar y de ser necesario actualizar la Política de Tratamiento de Datos Personales de la UIAF</w:t>
            </w:r>
          </w:p>
        </w:tc>
        <w:tc>
          <w:tcPr>
            <w:tcW w:w="1774"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Política de Tratamiento de Datos Personales Revisada,  Actualizada y  Publicada</w:t>
            </w:r>
          </w:p>
        </w:tc>
        <w:tc>
          <w:tcPr>
            <w:tcW w:w="1701"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Oficina Asesora Jurídica</w:t>
            </w:r>
          </w:p>
        </w:tc>
        <w:tc>
          <w:tcPr>
            <w:tcW w:w="1409" w:type="dxa"/>
            <w:tcBorders>
              <w:top w:val="single" w:sz="4" w:space="0" w:color="366092"/>
              <w:left w:val="nil"/>
              <w:bottom w:val="single" w:sz="4" w:space="0" w:color="366092"/>
              <w:right w:val="single" w:sz="4" w:space="0" w:color="366092"/>
            </w:tcBorders>
            <w:shd w:val="clear" w:color="000000" w:fill="FFFFFF"/>
            <w:noWrap/>
            <w:vAlign w:val="center"/>
          </w:tcPr>
          <w:p w:rsidR="00081FE7" w:rsidRPr="00081FE7" w:rsidRDefault="00336E13" w:rsidP="00A03FD7">
            <w:pPr>
              <w:jc w:val="center"/>
              <w:rPr>
                <w:rFonts w:ascii="Cambria" w:hAnsi="Cambria"/>
                <w:sz w:val="18"/>
                <w:szCs w:val="18"/>
              </w:rPr>
            </w:pPr>
            <w:r>
              <w:rPr>
                <w:rFonts w:ascii="Cambria" w:hAnsi="Cambria"/>
                <w:sz w:val="18"/>
                <w:szCs w:val="18"/>
              </w:rPr>
              <w:t>31-May-2023</w:t>
            </w:r>
          </w:p>
        </w:tc>
      </w:tr>
      <w:tr w:rsidR="00081FE7" w:rsidRPr="00081FE7" w:rsidTr="00A03FD7">
        <w:trPr>
          <w:trHeight w:val="257"/>
        </w:trPr>
        <w:tc>
          <w:tcPr>
            <w:tcW w:w="2405" w:type="dxa"/>
            <w:vMerge/>
            <w:tcBorders>
              <w:left w:val="single" w:sz="4" w:space="0" w:color="366092"/>
              <w:bottom w:val="single" w:sz="4" w:space="0" w:color="366092"/>
              <w:right w:val="single" w:sz="4" w:space="0" w:color="366092"/>
            </w:tcBorders>
            <w:shd w:val="clear" w:color="000000" w:fill="DCE6F1"/>
            <w:vAlign w:val="center"/>
          </w:tcPr>
          <w:p w:rsidR="00081FE7" w:rsidRPr="00081FE7" w:rsidRDefault="00081FE7" w:rsidP="00A03FD7">
            <w:pPr>
              <w:rPr>
                <w:rFonts w:ascii="Cambria" w:hAnsi="Cambria"/>
                <w:sz w:val="18"/>
                <w:szCs w:val="18"/>
              </w:rPr>
            </w:pPr>
          </w:p>
        </w:tc>
        <w:tc>
          <w:tcPr>
            <w:tcW w:w="425"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4.5</w:t>
            </w:r>
          </w:p>
        </w:tc>
        <w:tc>
          <w:tcPr>
            <w:tcW w:w="2268"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Participar en las Mesas Sectoriales de Servicio al Ciudadano, lideradas por el Ministerio de Hacienda</w:t>
            </w:r>
          </w:p>
        </w:tc>
        <w:tc>
          <w:tcPr>
            <w:tcW w:w="1774"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Número de Mesas Sectoriales</w:t>
            </w:r>
          </w:p>
        </w:tc>
        <w:tc>
          <w:tcPr>
            <w:tcW w:w="1701" w:type="dxa"/>
            <w:tcBorders>
              <w:top w:val="single" w:sz="4" w:space="0" w:color="366092"/>
              <w:left w:val="nil"/>
              <w:bottom w:val="single" w:sz="4" w:space="0" w:color="366092"/>
              <w:right w:val="single" w:sz="4" w:space="0" w:color="366092"/>
            </w:tcBorders>
            <w:shd w:val="clear" w:color="000000" w:fill="FFFFFF"/>
            <w:vAlign w:val="center"/>
          </w:tcPr>
          <w:p w:rsidR="00081FE7" w:rsidRPr="00081FE7" w:rsidRDefault="00336E13" w:rsidP="00336E13">
            <w:pPr>
              <w:jc w:val="center"/>
              <w:rPr>
                <w:rFonts w:ascii="Cambria" w:hAnsi="Cambria"/>
                <w:sz w:val="18"/>
                <w:szCs w:val="18"/>
              </w:rPr>
            </w:pPr>
            <w:r>
              <w:rPr>
                <w:rFonts w:ascii="Cambria" w:hAnsi="Cambria"/>
                <w:sz w:val="18"/>
                <w:szCs w:val="18"/>
              </w:rPr>
              <w:t>Subdirección Administrativa y Financiera</w:t>
            </w:r>
          </w:p>
        </w:tc>
        <w:tc>
          <w:tcPr>
            <w:tcW w:w="1409" w:type="dxa"/>
            <w:tcBorders>
              <w:top w:val="single" w:sz="4" w:space="0" w:color="366092"/>
              <w:left w:val="nil"/>
              <w:bottom w:val="single" w:sz="4" w:space="0" w:color="366092"/>
              <w:right w:val="single" w:sz="4" w:space="0" w:color="366092"/>
            </w:tcBorders>
            <w:shd w:val="clear" w:color="000000" w:fill="FFFFFF"/>
            <w:noWrap/>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3</w:t>
            </w:r>
            <w:r w:rsidR="00336E13">
              <w:rPr>
                <w:rFonts w:ascii="Cambria" w:hAnsi="Cambria"/>
                <w:sz w:val="18"/>
                <w:szCs w:val="18"/>
              </w:rPr>
              <w:t>1-Dic-2023</w:t>
            </w:r>
          </w:p>
        </w:tc>
      </w:tr>
      <w:tr w:rsidR="00081FE7" w:rsidRPr="00081FE7" w:rsidTr="00A03FD7">
        <w:trPr>
          <w:trHeight w:val="945"/>
        </w:trPr>
        <w:tc>
          <w:tcPr>
            <w:tcW w:w="2405" w:type="dxa"/>
            <w:tcBorders>
              <w:top w:val="nil"/>
              <w:left w:val="single" w:sz="4" w:space="0" w:color="366092"/>
              <w:bottom w:val="single" w:sz="4" w:space="0" w:color="366092"/>
              <w:right w:val="single" w:sz="4" w:space="0" w:color="366092"/>
            </w:tcBorders>
            <w:shd w:val="clear" w:color="000000" w:fill="DCE6F1"/>
            <w:vAlign w:val="center"/>
            <w:hideMark/>
          </w:tcPr>
          <w:p w:rsidR="00081FE7" w:rsidRPr="00081FE7" w:rsidRDefault="00081FE7" w:rsidP="00A03FD7">
            <w:pPr>
              <w:rPr>
                <w:rFonts w:ascii="Cambria" w:hAnsi="Cambria"/>
                <w:sz w:val="18"/>
                <w:szCs w:val="18"/>
              </w:rPr>
            </w:pPr>
            <w:r w:rsidRPr="00081FE7">
              <w:rPr>
                <w:rFonts w:ascii="Cambria" w:hAnsi="Cambria"/>
                <w:sz w:val="18"/>
                <w:szCs w:val="18"/>
              </w:rPr>
              <w:t>Relacionamiento con el Ciudadano</w:t>
            </w:r>
          </w:p>
        </w:tc>
        <w:tc>
          <w:tcPr>
            <w:tcW w:w="425"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5.1</w:t>
            </w:r>
          </w:p>
        </w:tc>
        <w:tc>
          <w:tcPr>
            <w:tcW w:w="2268"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Aplicar encuestas de percepción del usuario respecto a los servicios prestados por la entidad</w:t>
            </w:r>
          </w:p>
        </w:tc>
        <w:tc>
          <w:tcPr>
            <w:tcW w:w="1774"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Encuestas de percepción del usuario aplicadas</w:t>
            </w:r>
          </w:p>
        </w:tc>
        <w:tc>
          <w:tcPr>
            <w:tcW w:w="1701" w:type="dxa"/>
            <w:tcBorders>
              <w:top w:val="nil"/>
              <w:left w:val="nil"/>
              <w:bottom w:val="single" w:sz="4" w:space="0" w:color="366092"/>
              <w:right w:val="single" w:sz="4"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Todas las Áreas</w:t>
            </w:r>
          </w:p>
        </w:tc>
        <w:tc>
          <w:tcPr>
            <w:tcW w:w="1409" w:type="dxa"/>
            <w:tcBorders>
              <w:top w:val="nil"/>
              <w:left w:val="nil"/>
              <w:bottom w:val="single" w:sz="4" w:space="0" w:color="366092"/>
              <w:right w:val="single" w:sz="4"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Trimestral</w:t>
            </w:r>
          </w:p>
        </w:tc>
      </w:tr>
    </w:tbl>
    <w:p w:rsidR="00081FE7" w:rsidRPr="00081FE7" w:rsidRDefault="00081FE7" w:rsidP="00081FE7">
      <w:pPr>
        <w:pStyle w:val="Sinespaciado"/>
        <w:ind w:left="0" w:right="55" w:firstLine="0"/>
      </w:pPr>
    </w:p>
    <w:p w:rsidR="00081FE7" w:rsidRPr="00081FE7" w:rsidRDefault="00081FE7" w:rsidP="00081FE7">
      <w:pPr>
        <w:pStyle w:val="Sinespaciado"/>
        <w:numPr>
          <w:ilvl w:val="1"/>
          <w:numId w:val="31"/>
        </w:numPr>
        <w:ind w:left="567" w:right="55" w:hanging="567"/>
        <w:rPr>
          <w:b/>
          <w:sz w:val="22"/>
        </w:rPr>
      </w:pPr>
      <w:r w:rsidRPr="00081FE7">
        <w:rPr>
          <w:b/>
          <w:sz w:val="22"/>
        </w:rPr>
        <w:t>MECANISMOS PARA LA TRANSPARENCIA Y ACCESO A LA INFORMACIÓN PÚBLICA</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El propósito primordial del desarrollo de este componente es establecer e implementar acciones encaminadas al fortalecimiento de la gestión administrativa que le permitan a la entidad garantizar el derecho de acceso a la información pública a los ciudadanos, mediante la divulgación proactiva de la información pública, el trámite y respuesta a todas las solicitudes de información de manera oportuna y al tratamiento adecuado de la información, en cumplimiento de lo dispuesto en la Ley 1712 de 2014.</w:t>
      </w:r>
    </w:p>
    <w:p w:rsidR="00081FE7" w:rsidRPr="00081FE7" w:rsidRDefault="00081FE7" w:rsidP="00081FE7">
      <w:pPr>
        <w:pStyle w:val="Sinespaciado"/>
        <w:ind w:left="0" w:right="55" w:firstLine="0"/>
        <w:rPr>
          <w:sz w:val="22"/>
        </w:rPr>
      </w:pPr>
    </w:p>
    <w:tbl>
      <w:tblPr>
        <w:tblW w:w="9913" w:type="dxa"/>
        <w:tblCellMar>
          <w:left w:w="70" w:type="dxa"/>
          <w:right w:w="70" w:type="dxa"/>
        </w:tblCellMar>
        <w:tblLook w:val="04A0" w:firstRow="1" w:lastRow="0" w:firstColumn="1" w:lastColumn="0" w:noHBand="0" w:noVBand="1"/>
      </w:tblPr>
      <w:tblGrid>
        <w:gridCol w:w="1478"/>
        <w:gridCol w:w="425"/>
        <w:gridCol w:w="2268"/>
        <w:gridCol w:w="1418"/>
        <w:gridCol w:w="1701"/>
        <w:gridCol w:w="1559"/>
        <w:gridCol w:w="1170"/>
      </w:tblGrid>
      <w:tr w:rsidR="00081FE7" w:rsidRPr="00081FE7" w:rsidTr="00A03FD7">
        <w:trPr>
          <w:trHeight w:val="390"/>
          <w:tblHeader/>
        </w:trPr>
        <w:tc>
          <w:tcPr>
            <w:tcW w:w="9913" w:type="dxa"/>
            <w:gridSpan w:val="7"/>
            <w:tcBorders>
              <w:top w:val="single" w:sz="8" w:space="0" w:color="366092"/>
              <w:left w:val="single" w:sz="8" w:space="0" w:color="366092"/>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Plan Anticorrupción y de Atención al Ciudadano</w:t>
            </w:r>
          </w:p>
        </w:tc>
      </w:tr>
      <w:tr w:rsidR="00081FE7" w:rsidRPr="00081FE7" w:rsidTr="00A03FD7">
        <w:trPr>
          <w:trHeight w:val="555"/>
          <w:tblHeader/>
        </w:trPr>
        <w:tc>
          <w:tcPr>
            <w:tcW w:w="9913" w:type="dxa"/>
            <w:gridSpan w:val="7"/>
            <w:tcBorders>
              <w:top w:val="single" w:sz="8" w:space="0" w:color="366092"/>
              <w:left w:val="single" w:sz="8" w:space="0" w:color="366092"/>
              <w:bottom w:val="single" w:sz="8" w:space="0" w:color="366092"/>
              <w:right w:val="single" w:sz="8" w:space="0" w:color="366092"/>
            </w:tcBorders>
            <w:shd w:val="clear" w:color="000000" w:fill="B8CCE4"/>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Componente 5:  Transparencia y Acceso a la Información</w:t>
            </w:r>
          </w:p>
        </w:tc>
      </w:tr>
      <w:tr w:rsidR="00081FE7" w:rsidRPr="00081FE7" w:rsidTr="00A03FD7">
        <w:trPr>
          <w:trHeight w:val="324"/>
          <w:tblHeader/>
        </w:trPr>
        <w:tc>
          <w:tcPr>
            <w:tcW w:w="1408" w:type="dxa"/>
            <w:tcBorders>
              <w:top w:val="nil"/>
              <w:left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Subcomponente</w:t>
            </w:r>
          </w:p>
        </w:tc>
        <w:tc>
          <w:tcPr>
            <w:tcW w:w="2693" w:type="dxa"/>
            <w:gridSpan w:val="2"/>
            <w:tcBorders>
              <w:top w:val="single" w:sz="8" w:space="0" w:color="366092"/>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 xml:space="preserve"> Actividades</w:t>
            </w:r>
          </w:p>
        </w:tc>
        <w:tc>
          <w:tcPr>
            <w:tcW w:w="141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Meta o Producto</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Indicadores</w:t>
            </w:r>
          </w:p>
        </w:tc>
        <w:tc>
          <w:tcPr>
            <w:tcW w:w="1559"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 xml:space="preserve">Responsable </w:t>
            </w:r>
          </w:p>
        </w:tc>
        <w:tc>
          <w:tcPr>
            <w:tcW w:w="1134"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Fecha Programada</w:t>
            </w:r>
          </w:p>
        </w:tc>
      </w:tr>
      <w:tr w:rsidR="00081FE7" w:rsidRPr="00081FE7" w:rsidTr="00A03FD7">
        <w:trPr>
          <w:trHeight w:val="1215"/>
        </w:trPr>
        <w:tc>
          <w:tcPr>
            <w:tcW w:w="1408" w:type="dxa"/>
            <w:vMerge w:val="restart"/>
            <w:tcBorders>
              <w:top w:val="nil"/>
              <w:left w:val="single" w:sz="8" w:space="0" w:color="366092"/>
              <w:bottom w:val="nil"/>
              <w:right w:val="single" w:sz="8" w:space="0" w:color="366092"/>
            </w:tcBorders>
            <w:shd w:val="clear" w:color="000000" w:fill="DCE6F1"/>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Lineamientos de Transparencia Activa</w:t>
            </w:r>
          </w:p>
        </w:tc>
        <w:tc>
          <w:tcPr>
            <w:tcW w:w="425"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1.1</w:t>
            </w:r>
          </w:p>
        </w:tc>
        <w:tc>
          <w:tcPr>
            <w:tcW w:w="2268"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Realizar seguimiento a cada una de las áreas responsables de reportar y publicar la información contenida en el esquema de Publicación</w:t>
            </w:r>
          </w:p>
        </w:tc>
        <w:tc>
          <w:tcPr>
            <w:tcW w:w="1418"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Informes de seguimiento</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Porcentaje de cumplimiento de publicación de información</w:t>
            </w:r>
          </w:p>
        </w:tc>
        <w:tc>
          <w:tcPr>
            <w:tcW w:w="1559"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5F6736" w:rsidP="00A03FD7">
            <w:pPr>
              <w:jc w:val="center"/>
              <w:rPr>
                <w:rFonts w:ascii="Cambria" w:hAnsi="Cambria"/>
                <w:sz w:val="18"/>
                <w:szCs w:val="18"/>
              </w:rPr>
            </w:pPr>
            <w:r>
              <w:rPr>
                <w:rFonts w:ascii="Cambria" w:hAnsi="Cambria"/>
                <w:sz w:val="18"/>
                <w:szCs w:val="18"/>
              </w:rPr>
              <w:t>Oficina Asesora de Planeación</w:t>
            </w:r>
          </w:p>
        </w:tc>
        <w:tc>
          <w:tcPr>
            <w:tcW w:w="1134" w:type="dxa"/>
            <w:tcBorders>
              <w:top w:val="single" w:sz="8" w:space="0" w:color="366092"/>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Trimestral</w:t>
            </w:r>
          </w:p>
        </w:tc>
      </w:tr>
      <w:tr w:rsidR="00081FE7" w:rsidRPr="00081FE7" w:rsidTr="00A03FD7">
        <w:trPr>
          <w:trHeight w:val="915"/>
        </w:trPr>
        <w:tc>
          <w:tcPr>
            <w:tcW w:w="1408" w:type="dxa"/>
            <w:vMerge/>
            <w:tcBorders>
              <w:top w:val="nil"/>
              <w:left w:val="single" w:sz="8" w:space="0" w:color="366092"/>
              <w:bottom w:val="single" w:sz="8" w:space="0" w:color="366092"/>
              <w:right w:val="single" w:sz="8" w:space="0" w:color="366092"/>
            </w:tcBorders>
            <w:vAlign w:val="center"/>
            <w:hideMark/>
          </w:tcPr>
          <w:p w:rsidR="00081FE7" w:rsidRPr="00081FE7" w:rsidRDefault="00081FE7" w:rsidP="00A03FD7">
            <w:pPr>
              <w:rPr>
                <w:rFonts w:ascii="Cambria" w:hAnsi="Cambria"/>
                <w:sz w:val="18"/>
                <w:szCs w:val="18"/>
              </w:rPr>
            </w:pPr>
          </w:p>
        </w:tc>
        <w:tc>
          <w:tcPr>
            <w:tcW w:w="425"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1.2</w:t>
            </w:r>
          </w:p>
        </w:tc>
        <w:tc>
          <w:tcPr>
            <w:tcW w:w="226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Revisar y de ser necesario actualizar la Política Editorial y la Política de Comunicaciones de la entidad</w:t>
            </w:r>
          </w:p>
        </w:tc>
        <w:tc>
          <w:tcPr>
            <w:tcW w:w="141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Política Editorial y Política de Comunicaciones Revisada y actualizada</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Política Editorial y Política de Comunicaciones revisada y actualizada</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5F6736" w:rsidP="00A03FD7">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tc>
        <w:tc>
          <w:tcPr>
            <w:tcW w:w="1134"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5F6736" w:rsidP="00A03FD7">
            <w:pPr>
              <w:jc w:val="center"/>
              <w:rPr>
                <w:rFonts w:ascii="Cambria" w:hAnsi="Cambria"/>
                <w:sz w:val="18"/>
                <w:szCs w:val="18"/>
              </w:rPr>
            </w:pPr>
            <w:r>
              <w:rPr>
                <w:rFonts w:ascii="Cambria" w:hAnsi="Cambria"/>
                <w:sz w:val="18"/>
                <w:szCs w:val="18"/>
              </w:rPr>
              <w:t>31-May-2023</w:t>
            </w:r>
          </w:p>
        </w:tc>
      </w:tr>
      <w:tr w:rsidR="00081FE7" w:rsidRPr="00081FE7" w:rsidTr="00A03FD7">
        <w:trPr>
          <w:trHeight w:val="915"/>
        </w:trPr>
        <w:tc>
          <w:tcPr>
            <w:tcW w:w="1408" w:type="dxa"/>
            <w:vMerge/>
            <w:tcBorders>
              <w:top w:val="single" w:sz="8" w:space="0" w:color="366092"/>
              <w:left w:val="single" w:sz="8" w:space="0" w:color="366092"/>
              <w:bottom w:val="nil"/>
              <w:right w:val="single" w:sz="8" w:space="0" w:color="366092"/>
            </w:tcBorders>
            <w:vAlign w:val="center"/>
            <w:hideMark/>
          </w:tcPr>
          <w:p w:rsidR="00081FE7" w:rsidRPr="00081FE7" w:rsidRDefault="00081FE7" w:rsidP="00A03FD7">
            <w:pPr>
              <w:rPr>
                <w:rFonts w:ascii="Cambria" w:hAnsi="Cambria"/>
                <w:sz w:val="18"/>
                <w:szCs w:val="18"/>
              </w:rPr>
            </w:pPr>
          </w:p>
        </w:tc>
        <w:tc>
          <w:tcPr>
            <w:tcW w:w="425"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1.3</w:t>
            </w:r>
          </w:p>
        </w:tc>
        <w:tc>
          <w:tcPr>
            <w:tcW w:w="2268"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Identificar y definir los Conjuntos de Datos Abiertos y gestionar su publicación</w:t>
            </w:r>
          </w:p>
        </w:tc>
        <w:tc>
          <w:tcPr>
            <w:tcW w:w="1418"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Conjuntos de Datos Abiertos</w:t>
            </w:r>
          </w:p>
        </w:tc>
        <w:tc>
          <w:tcPr>
            <w:tcW w:w="1701"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Conjuntos de Datos Abiertos publicados en el Portal de Datos Abiertos</w:t>
            </w:r>
          </w:p>
        </w:tc>
        <w:tc>
          <w:tcPr>
            <w:tcW w:w="1559" w:type="dxa"/>
            <w:tcBorders>
              <w:top w:val="single" w:sz="8" w:space="0" w:color="366092"/>
              <w:left w:val="nil"/>
              <w:bottom w:val="single" w:sz="8" w:space="0" w:color="366092"/>
              <w:right w:val="single" w:sz="8" w:space="0" w:color="366092"/>
            </w:tcBorders>
            <w:shd w:val="clear" w:color="000000" w:fill="FFFFFF"/>
            <w:vAlign w:val="center"/>
            <w:hideMark/>
          </w:tcPr>
          <w:p w:rsidR="00081FE7" w:rsidRPr="00081FE7" w:rsidRDefault="00081FE7" w:rsidP="005F6736">
            <w:pPr>
              <w:jc w:val="center"/>
              <w:rPr>
                <w:rFonts w:ascii="Cambria" w:hAnsi="Cambria"/>
                <w:sz w:val="18"/>
                <w:szCs w:val="18"/>
              </w:rPr>
            </w:pPr>
            <w:r w:rsidRPr="00081FE7">
              <w:rPr>
                <w:rFonts w:ascii="Cambria" w:hAnsi="Cambria"/>
                <w:sz w:val="18"/>
                <w:szCs w:val="18"/>
              </w:rPr>
              <w:t xml:space="preserve">Subdirección de </w:t>
            </w:r>
            <w:r w:rsidR="005F6736">
              <w:rPr>
                <w:rFonts w:ascii="Cambria" w:hAnsi="Cambria"/>
                <w:sz w:val="18"/>
                <w:szCs w:val="18"/>
              </w:rPr>
              <w:t xml:space="preserve">Tecnologías de la Información </w:t>
            </w:r>
            <w:r w:rsidRPr="00081FE7">
              <w:rPr>
                <w:rFonts w:ascii="Cambria" w:hAnsi="Cambria"/>
                <w:sz w:val="18"/>
                <w:szCs w:val="18"/>
              </w:rPr>
              <w:t xml:space="preserve">y </w:t>
            </w:r>
            <w:r w:rsidRPr="00081FE7">
              <w:rPr>
                <w:rFonts w:ascii="Cambria" w:hAnsi="Cambria"/>
                <w:sz w:val="18"/>
                <w:szCs w:val="18"/>
              </w:rPr>
              <w:br/>
              <w:t>Todas las áreas</w:t>
            </w:r>
          </w:p>
        </w:tc>
        <w:tc>
          <w:tcPr>
            <w:tcW w:w="1134" w:type="dxa"/>
            <w:tcBorders>
              <w:top w:val="single" w:sz="8" w:space="0" w:color="366092"/>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31-Dic-20</w:t>
            </w:r>
            <w:r w:rsidR="005F6736">
              <w:rPr>
                <w:rFonts w:ascii="Cambria" w:hAnsi="Cambria"/>
                <w:sz w:val="18"/>
                <w:szCs w:val="18"/>
              </w:rPr>
              <w:t>23</w:t>
            </w:r>
          </w:p>
        </w:tc>
      </w:tr>
      <w:tr w:rsidR="00081FE7" w:rsidRPr="00081FE7" w:rsidTr="00A03FD7">
        <w:trPr>
          <w:trHeight w:val="915"/>
        </w:trPr>
        <w:tc>
          <w:tcPr>
            <w:tcW w:w="1408" w:type="dxa"/>
            <w:vMerge w:val="restart"/>
            <w:tcBorders>
              <w:top w:val="single" w:sz="8" w:space="0" w:color="366092"/>
              <w:left w:val="single" w:sz="8" w:space="0" w:color="366092"/>
              <w:bottom w:val="nil"/>
              <w:right w:val="single" w:sz="8" w:space="0" w:color="366092"/>
            </w:tcBorders>
            <w:shd w:val="clear" w:color="000000" w:fill="DCE6F1"/>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lastRenderedPageBreak/>
              <w:t>Lineamientos de Transparencia Pasiva</w:t>
            </w:r>
          </w:p>
        </w:tc>
        <w:tc>
          <w:tcPr>
            <w:tcW w:w="425"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2.1</w:t>
            </w:r>
          </w:p>
        </w:tc>
        <w:tc>
          <w:tcPr>
            <w:tcW w:w="226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Mantener actualizado de acuerdo a la normatividad vigente el Protocolo de Atención al Ciudadano</w:t>
            </w:r>
          </w:p>
        </w:tc>
        <w:tc>
          <w:tcPr>
            <w:tcW w:w="141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Protocolo de atención al ciudadano</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Protocolo de Atención al Ciudadano Actualizado</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5F6736">
            <w:pPr>
              <w:jc w:val="center"/>
              <w:rPr>
                <w:rFonts w:ascii="Cambria" w:hAnsi="Cambria"/>
                <w:sz w:val="18"/>
                <w:szCs w:val="18"/>
              </w:rPr>
            </w:pPr>
            <w:r w:rsidRPr="00081FE7">
              <w:rPr>
                <w:rFonts w:ascii="Cambria" w:hAnsi="Cambria"/>
                <w:sz w:val="18"/>
                <w:szCs w:val="18"/>
              </w:rPr>
              <w:t>Subdirección Administrativa y Fin</w:t>
            </w:r>
            <w:r w:rsidR="005F6736">
              <w:rPr>
                <w:rFonts w:ascii="Cambria" w:hAnsi="Cambria"/>
                <w:sz w:val="18"/>
                <w:szCs w:val="18"/>
              </w:rPr>
              <w:t>anciera</w:t>
            </w:r>
          </w:p>
        </w:tc>
        <w:tc>
          <w:tcPr>
            <w:tcW w:w="1134"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Permanente</w:t>
            </w:r>
          </w:p>
        </w:tc>
      </w:tr>
      <w:tr w:rsidR="00081FE7" w:rsidRPr="00081FE7" w:rsidTr="00A03FD7">
        <w:trPr>
          <w:trHeight w:val="615"/>
        </w:trPr>
        <w:tc>
          <w:tcPr>
            <w:tcW w:w="1408" w:type="dxa"/>
            <w:vMerge/>
            <w:tcBorders>
              <w:top w:val="single" w:sz="8" w:space="0" w:color="366092"/>
              <w:left w:val="single" w:sz="8" w:space="0" w:color="366092"/>
              <w:bottom w:val="nil"/>
              <w:right w:val="single" w:sz="8" w:space="0" w:color="366092"/>
            </w:tcBorders>
            <w:vAlign w:val="center"/>
            <w:hideMark/>
          </w:tcPr>
          <w:p w:rsidR="00081FE7" w:rsidRPr="00081FE7" w:rsidRDefault="00081FE7" w:rsidP="00A03FD7">
            <w:pPr>
              <w:rPr>
                <w:rFonts w:ascii="Cambria" w:hAnsi="Cambria"/>
                <w:sz w:val="18"/>
                <w:szCs w:val="18"/>
              </w:rPr>
            </w:pPr>
          </w:p>
        </w:tc>
        <w:tc>
          <w:tcPr>
            <w:tcW w:w="425"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2.2</w:t>
            </w:r>
          </w:p>
        </w:tc>
        <w:tc>
          <w:tcPr>
            <w:tcW w:w="226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Realizar seguimiento a las PQRS que ingresan a la entidad</w:t>
            </w:r>
          </w:p>
        </w:tc>
        <w:tc>
          <w:tcPr>
            <w:tcW w:w="141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Informes de seguimiento</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Informes de seguimientos a PQRS</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Oficina de Control Interno</w:t>
            </w:r>
            <w:r w:rsidR="005F6736">
              <w:rPr>
                <w:rFonts w:ascii="Cambria" w:hAnsi="Cambria"/>
                <w:sz w:val="18"/>
                <w:szCs w:val="18"/>
              </w:rPr>
              <w:t xml:space="preserve"> e Inspección</w:t>
            </w:r>
          </w:p>
        </w:tc>
        <w:tc>
          <w:tcPr>
            <w:tcW w:w="1134"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Trimestral</w:t>
            </w:r>
          </w:p>
        </w:tc>
      </w:tr>
      <w:tr w:rsidR="00081FE7" w:rsidRPr="00081FE7" w:rsidTr="00A03FD7">
        <w:trPr>
          <w:trHeight w:val="948"/>
        </w:trPr>
        <w:tc>
          <w:tcPr>
            <w:tcW w:w="1408" w:type="dxa"/>
            <w:vMerge w:val="restart"/>
            <w:tcBorders>
              <w:top w:val="single" w:sz="8" w:space="0" w:color="366092"/>
              <w:left w:val="single" w:sz="8" w:space="0" w:color="366092"/>
              <w:bottom w:val="nil"/>
              <w:right w:val="single" w:sz="8" w:space="0" w:color="366092"/>
            </w:tcBorders>
            <w:shd w:val="clear" w:color="000000" w:fill="DCE6F1"/>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Elaboración los Instrumentos de Gestión de la Información</w:t>
            </w:r>
          </w:p>
        </w:tc>
        <w:tc>
          <w:tcPr>
            <w:tcW w:w="425"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3.1</w:t>
            </w:r>
          </w:p>
        </w:tc>
        <w:tc>
          <w:tcPr>
            <w:tcW w:w="226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Actualizar, adoptar y publicar en el sitio web y en el Portal de Datos Abiertos del Estado el Inventario de Activos de Información</w:t>
            </w:r>
          </w:p>
        </w:tc>
        <w:tc>
          <w:tcPr>
            <w:tcW w:w="141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Inventario de Activos de Información</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Inventario de Activos de Información elaborado, actualizado, adoptado y publicado</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5F6736">
            <w:pPr>
              <w:jc w:val="center"/>
              <w:rPr>
                <w:rFonts w:ascii="Cambria" w:hAnsi="Cambria"/>
                <w:sz w:val="18"/>
                <w:szCs w:val="18"/>
              </w:rPr>
            </w:pPr>
            <w:r w:rsidRPr="00081FE7">
              <w:rPr>
                <w:rFonts w:ascii="Cambria" w:hAnsi="Cambria"/>
                <w:sz w:val="18"/>
                <w:szCs w:val="18"/>
              </w:rPr>
              <w:t xml:space="preserve">Subdirección de </w:t>
            </w:r>
            <w:r w:rsidR="005F6736">
              <w:rPr>
                <w:rFonts w:ascii="Cambria" w:hAnsi="Cambria"/>
                <w:sz w:val="18"/>
                <w:szCs w:val="18"/>
              </w:rPr>
              <w:t>Tecnologías de la Información</w:t>
            </w:r>
          </w:p>
        </w:tc>
        <w:tc>
          <w:tcPr>
            <w:tcW w:w="1134"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3</w:t>
            </w:r>
            <w:r w:rsidR="005F6736">
              <w:rPr>
                <w:rFonts w:ascii="Cambria" w:hAnsi="Cambria"/>
                <w:sz w:val="18"/>
                <w:szCs w:val="18"/>
              </w:rPr>
              <w:t>1-May-203</w:t>
            </w:r>
          </w:p>
        </w:tc>
      </w:tr>
      <w:tr w:rsidR="00081FE7" w:rsidRPr="00081FE7" w:rsidTr="00A03FD7">
        <w:trPr>
          <w:trHeight w:val="456"/>
        </w:trPr>
        <w:tc>
          <w:tcPr>
            <w:tcW w:w="1408" w:type="dxa"/>
            <w:vMerge/>
            <w:tcBorders>
              <w:top w:val="single" w:sz="8" w:space="0" w:color="366092"/>
              <w:left w:val="single" w:sz="8" w:space="0" w:color="366092"/>
              <w:bottom w:val="nil"/>
              <w:right w:val="single" w:sz="8" w:space="0" w:color="366092"/>
            </w:tcBorders>
            <w:vAlign w:val="center"/>
            <w:hideMark/>
          </w:tcPr>
          <w:p w:rsidR="00081FE7" w:rsidRPr="00081FE7" w:rsidRDefault="00081FE7" w:rsidP="00A03FD7">
            <w:pPr>
              <w:rPr>
                <w:rFonts w:ascii="Cambria" w:hAnsi="Cambria"/>
                <w:sz w:val="18"/>
                <w:szCs w:val="18"/>
              </w:rPr>
            </w:pPr>
          </w:p>
        </w:tc>
        <w:tc>
          <w:tcPr>
            <w:tcW w:w="425"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3.2</w:t>
            </w:r>
          </w:p>
        </w:tc>
        <w:tc>
          <w:tcPr>
            <w:tcW w:w="226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Actualizar, adoptar y publicar en el sitio web y en el Portal de Datos Abiertos del Estado el Índice de Información Clasificada y Reservada</w:t>
            </w:r>
          </w:p>
        </w:tc>
        <w:tc>
          <w:tcPr>
            <w:tcW w:w="141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Índice de Información Clasificada y Reservada</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Índice de Información Clasificada y Reservada elaborado, actualizado, adoptado y publicado</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Oficina Asesora Jurídica</w:t>
            </w:r>
          </w:p>
        </w:tc>
        <w:tc>
          <w:tcPr>
            <w:tcW w:w="1134"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5F6736">
            <w:pPr>
              <w:jc w:val="center"/>
              <w:rPr>
                <w:rFonts w:ascii="Cambria" w:hAnsi="Cambria"/>
                <w:sz w:val="18"/>
                <w:szCs w:val="18"/>
              </w:rPr>
            </w:pPr>
            <w:r w:rsidRPr="00081FE7">
              <w:rPr>
                <w:rFonts w:ascii="Cambria" w:hAnsi="Cambria"/>
                <w:sz w:val="18"/>
                <w:szCs w:val="18"/>
              </w:rPr>
              <w:t>30-</w:t>
            </w:r>
            <w:r w:rsidR="005F6736">
              <w:rPr>
                <w:rFonts w:ascii="Cambria" w:hAnsi="Cambria"/>
                <w:sz w:val="18"/>
                <w:szCs w:val="18"/>
              </w:rPr>
              <w:t>Jun</w:t>
            </w:r>
            <w:r w:rsidRPr="00081FE7">
              <w:rPr>
                <w:rFonts w:ascii="Cambria" w:hAnsi="Cambria"/>
                <w:sz w:val="18"/>
                <w:szCs w:val="18"/>
              </w:rPr>
              <w:t>-202</w:t>
            </w:r>
            <w:r w:rsidR="005F6736">
              <w:rPr>
                <w:rFonts w:ascii="Cambria" w:hAnsi="Cambria"/>
                <w:sz w:val="18"/>
                <w:szCs w:val="18"/>
              </w:rPr>
              <w:t>3</w:t>
            </w:r>
          </w:p>
        </w:tc>
      </w:tr>
      <w:tr w:rsidR="00081FE7" w:rsidRPr="00081FE7" w:rsidTr="00A03FD7">
        <w:trPr>
          <w:trHeight w:val="1215"/>
        </w:trPr>
        <w:tc>
          <w:tcPr>
            <w:tcW w:w="1408" w:type="dxa"/>
            <w:vMerge/>
            <w:tcBorders>
              <w:top w:val="single" w:sz="8" w:space="0" w:color="366092"/>
              <w:left w:val="single" w:sz="8" w:space="0" w:color="366092"/>
              <w:bottom w:val="nil"/>
              <w:right w:val="single" w:sz="8" w:space="0" w:color="366092"/>
            </w:tcBorders>
            <w:vAlign w:val="center"/>
            <w:hideMark/>
          </w:tcPr>
          <w:p w:rsidR="00081FE7" w:rsidRPr="00081FE7" w:rsidRDefault="00081FE7" w:rsidP="00A03FD7">
            <w:pPr>
              <w:rPr>
                <w:rFonts w:ascii="Cambria" w:hAnsi="Cambria"/>
                <w:sz w:val="18"/>
                <w:szCs w:val="18"/>
              </w:rPr>
            </w:pPr>
          </w:p>
        </w:tc>
        <w:tc>
          <w:tcPr>
            <w:tcW w:w="425"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3.3</w:t>
            </w:r>
          </w:p>
        </w:tc>
        <w:tc>
          <w:tcPr>
            <w:tcW w:w="226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Revisar y de ser necesario actualizar, adoptar y publicar en el sitio web y el Portal de Datos Abiertos del Estado el Esquema de Publicación de la entidad</w:t>
            </w:r>
          </w:p>
        </w:tc>
        <w:tc>
          <w:tcPr>
            <w:tcW w:w="141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Esquema de Publicación de la entidad</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Esquema de Publicación de la entidad elaborado, adoptado, actualizado y publicado</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5F6736" w:rsidP="00A03FD7">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tc>
        <w:tc>
          <w:tcPr>
            <w:tcW w:w="1134"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5F6736" w:rsidP="005F6736">
            <w:pPr>
              <w:jc w:val="center"/>
              <w:rPr>
                <w:rFonts w:ascii="Cambria" w:hAnsi="Cambria"/>
                <w:sz w:val="18"/>
                <w:szCs w:val="18"/>
              </w:rPr>
            </w:pPr>
            <w:r>
              <w:rPr>
                <w:rFonts w:ascii="Cambria" w:hAnsi="Cambria"/>
                <w:sz w:val="18"/>
                <w:szCs w:val="18"/>
              </w:rPr>
              <w:t>30-Abr-2023</w:t>
            </w:r>
          </w:p>
        </w:tc>
      </w:tr>
      <w:tr w:rsidR="00081FE7" w:rsidRPr="00081FE7" w:rsidTr="00A03FD7">
        <w:trPr>
          <w:trHeight w:val="1215"/>
        </w:trPr>
        <w:tc>
          <w:tcPr>
            <w:tcW w:w="1408" w:type="dxa"/>
            <w:vMerge/>
            <w:tcBorders>
              <w:top w:val="single" w:sz="8" w:space="0" w:color="366092"/>
              <w:left w:val="single" w:sz="8" w:space="0" w:color="366092"/>
              <w:bottom w:val="nil"/>
              <w:right w:val="single" w:sz="8" w:space="0" w:color="366092"/>
            </w:tcBorders>
            <w:vAlign w:val="center"/>
            <w:hideMark/>
          </w:tcPr>
          <w:p w:rsidR="00081FE7" w:rsidRPr="00081FE7" w:rsidRDefault="00081FE7" w:rsidP="00A03FD7">
            <w:pPr>
              <w:rPr>
                <w:rFonts w:ascii="Cambria" w:hAnsi="Cambria"/>
                <w:sz w:val="18"/>
                <w:szCs w:val="18"/>
              </w:rPr>
            </w:pPr>
          </w:p>
        </w:tc>
        <w:tc>
          <w:tcPr>
            <w:tcW w:w="425"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3.4</w:t>
            </w:r>
          </w:p>
        </w:tc>
        <w:tc>
          <w:tcPr>
            <w:tcW w:w="226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Actualizar, aprobar, adoptar y publicar el Programa de Gestión Documental - PGD</w:t>
            </w:r>
          </w:p>
        </w:tc>
        <w:tc>
          <w:tcPr>
            <w:tcW w:w="141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Programa de Gestión Documental</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Programa de Gestión Documental elaborado, aprobado, adoptado y publicado</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Subdirección Administrativa y Financiera - Gestión Documental</w:t>
            </w:r>
          </w:p>
        </w:tc>
        <w:tc>
          <w:tcPr>
            <w:tcW w:w="1134"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5F6736" w:rsidP="005F6736">
            <w:pPr>
              <w:jc w:val="center"/>
              <w:rPr>
                <w:rFonts w:ascii="Cambria" w:hAnsi="Cambria"/>
                <w:sz w:val="18"/>
                <w:szCs w:val="18"/>
              </w:rPr>
            </w:pPr>
            <w:r>
              <w:rPr>
                <w:rFonts w:ascii="Cambria" w:hAnsi="Cambria"/>
                <w:sz w:val="18"/>
                <w:szCs w:val="18"/>
              </w:rPr>
              <w:t>30</w:t>
            </w:r>
            <w:r w:rsidR="00081FE7" w:rsidRPr="00081FE7">
              <w:rPr>
                <w:rFonts w:ascii="Cambria" w:hAnsi="Cambria"/>
                <w:sz w:val="18"/>
                <w:szCs w:val="18"/>
              </w:rPr>
              <w:t>-</w:t>
            </w:r>
            <w:r>
              <w:rPr>
                <w:rFonts w:ascii="Cambria" w:hAnsi="Cambria"/>
                <w:sz w:val="18"/>
                <w:szCs w:val="18"/>
              </w:rPr>
              <w:t>Abr</w:t>
            </w:r>
            <w:r w:rsidR="00081FE7" w:rsidRPr="00081FE7">
              <w:rPr>
                <w:rFonts w:ascii="Cambria" w:hAnsi="Cambria"/>
                <w:sz w:val="18"/>
                <w:szCs w:val="18"/>
              </w:rPr>
              <w:t>-202</w:t>
            </w:r>
            <w:r>
              <w:rPr>
                <w:rFonts w:ascii="Cambria" w:hAnsi="Cambria"/>
                <w:sz w:val="18"/>
                <w:szCs w:val="18"/>
              </w:rPr>
              <w:t>3</w:t>
            </w:r>
          </w:p>
        </w:tc>
      </w:tr>
      <w:tr w:rsidR="00081FE7" w:rsidRPr="00081FE7" w:rsidTr="00A03FD7">
        <w:trPr>
          <w:trHeight w:val="795"/>
        </w:trPr>
        <w:tc>
          <w:tcPr>
            <w:tcW w:w="1408" w:type="dxa"/>
            <w:tcBorders>
              <w:top w:val="single" w:sz="8" w:space="0" w:color="366092"/>
              <w:left w:val="single" w:sz="8" w:space="0" w:color="366092"/>
              <w:bottom w:val="nil"/>
              <w:right w:val="single" w:sz="8" w:space="0" w:color="366092"/>
            </w:tcBorders>
            <w:shd w:val="clear" w:color="000000" w:fill="DCE6F1"/>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Criterio Diferencial de Accesibilidad</w:t>
            </w:r>
          </w:p>
        </w:tc>
        <w:tc>
          <w:tcPr>
            <w:tcW w:w="425"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4.1</w:t>
            </w:r>
          </w:p>
        </w:tc>
        <w:tc>
          <w:tcPr>
            <w:tcW w:w="226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Elaborar y publicar piezas de comunicación con lenguaje subtitulado</w:t>
            </w:r>
          </w:p>
        </w:tc>
        <w:tc>
          <w:tcPr>
            <w:tcW w:w="141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Piezas de comunicación con lenguaje subtitulado</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Piezas elaboradas y publicadas</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5F6736" w:rsidP="00A03FD7">
            <w:pPr>
              <w:jc w:val="center"/>
              <w:rPr>
                <w:rFonts w:ascii="Cambria" w:hAnsi="Cambria"/>
                <w:sz w:val="18"/>
                <w:szCs w:val="18"/>
              </w:rPr>
            </w:pPr>
            <w:r>
              <w:rPr>
                <w:rFonts w:ascii="Cambria" w:hAnsi="Cambria"/>
                <w:sz w:val="18"/>
                <w:szCs w:val="18"/>
              </w:rPr>
              <w:t xml:space="preserve">Grupo de </w:t>
            </w:r>
            <w:r w:rsidR="00081FE7" w:rsidRPr="00081FE7">
              <w:rPr>
                <w:rFonts w:ascii="Cambria" w:hAnsi="Cambria"/>
                <w:sz w:val="18"/>
                <w:szCs w:val="18"/>
              </w:rPr>
              <w:t>Comunicaciones</w:t>
            </w:r>
          </w:p>
        </w:tc>
        <w:tc>
          <w:tcPr>
            <w:tcW w:w="1134"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5F6736" w:rsidP="00A03FD7">
            <w:pPr>
              <w:jc w:val="center"/>
              <w:rPr>
                <w:rFonts w:ascii="Cambria" w:hAnsi="Cambria"/>
                <w:sz w:val="18"/>
                <w:szCs w:val="18"/>
              </w:rPr>
            </w:pPr>
            <w:r>
              <w:rPr>
                <w:rFonts w:ascii="Cambria" w:hAnsi="Cambria"/>
                <w:sz w:val="18"/>
                <w:szCs w:val="18"/>
              </w:rPr>
              <w:t>Permanente</w:t>
            </w:r>
          </w:p>
        </w:tc>
      </w:tr>
      <w:tr w:rsidR="00081FE7" w:rsidRPr="00081FE7" w:rsidTr="005F6736">
        <w:trPr>
          <w:trHeight w:val="387"/>
        </w:trPr>
        <w:tc>
          <w:tcPr>
            <w:tcW w:w="1408" w:type="dxa"/>
            <w:tcBorders>
              <w:top w:val="single" w:sz="8" w:space="0" w:color="366092"/>
              <w:left w:val="single" w:sz="8" w:space="0" w:color="366092"/>
              <w:bottom w:val="single" w:sz="8" w:space="0" w:color="366092"/>
              <w:right w:val="single" w:sz="8" w:space="0" w:color="366092"/>
            </w:tcBorders>
            <w:shd w:val="clear" w:color="000000" w:fill="DCE6F1"/>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Monitoreo del Acceso a la Información Pública</w:t>
            </w:r>
          </w:p>
        </w:tc>
        <w:tc>
          <w:tcPr>
            <w:tcW w:w="425"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5.1</w:t>
            </w:r>
          </w:p>
        </w:tc>
        <w:tc>
          <w:tcPr>
            <w:tcW w:w="226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Elaborar y publicar Informe de Solicitudes de Acceso a Información</w:t>
            </w:r>
          </w:p>
        </w:tc>
        <w:tc>
          <w:tcPr>
            <w:tcW w:w="1418"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Informes de Solicitudes de Acceso a Información</w:t>
            </w:r>
          </w:p>
        </w:tc>
        <w:tc>
          <w:tcPr>
            <w:tcW w:w="1701"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 xml:space="preserve">Informes de Solicitudes de Acceso a Información </w:t>
            </w:r>
            <w:r w:rsidRPr="00081FE7">
              <w:rPr>
                <w:rFonts w:ascii="Cambria" w:hAnsi="Cambria"/>
                <w:sz w:val="18"/>
                <w:szCs w:val="18"/>
              </w:rPr>
              <w:lastRenderedPageBreak/>
              <w:t>Elaborados y publicados</w:t>
            </w:r>
          </w:p>
        </w:tc>
        <w:tc>
          <w:tcPr>
            <w:tcW w:w="1559" w:type="dxa"/>
            <w:tcBorders>
              <w:top w:val="nil"/>
              <w:left w:val="nil"/>
              <w:bottom w:val="single" w:sz="8" w:space="0" w:color="366092"/>
              <w:right w:val="single" w:sz="8" w:space="0" w:color="366092"/>
            </w:tcBorders>
            <w:shd w:val="clear" w:color="000000" w:fill="FFFFFF"/>
            <w:vAlign w:val="center"/>
            <w:hideMark/>
          </w:tcPr>
          <w:p w:rsidR="00081FE7" w:rsidRPr="00081FE7" w:rsidRDefault="00081FE7" w:rsidP="005F6736">
            <w:pPr>
              <w:jc w:val="center"/>
              <w:rPr>
                <w:rFonts w:ascii="Cambria" w:hAnsi="Cambria"/>
                <w:sz w:val="18"/>
                <w:szCs w:val="18"/>
              </w:rPr>
            </w:pPr>
            <w:r w:rsidRPr="00081FE7">
              <w:rPr>
                <w:rFonts w:ascii="Cambria" w:hAnsi="Cambria"/>
                <w:sz w:val="18"/>
                <w:szCs w:val="18"/>
              </w:rPr>
              <w:lastRenderedPageBreak/>
              <w:t>Subdirección Administrativa y Financiera</w:t>
            </w:r>
          </w:p>
        </w:tc>
        <w:tc>
          <w:tcPr>
            <w:tcW w:w="1134" w:type="dxa"/>
            <w:tcBorders>
              <w:top w:val="nil"/>
              <w:left w:val="nil"/>
              <w:bottom w:val="single" w:sz="8" w:space="0" w:color="366092"/>
              <w:right w:val="single" w:sz="8" w:space="0" w:color="366092"/>
            </w:tcBorders>
            <w:shd w:val="clear" w:color="000000" w:fill="FFFFFF"/>
            <w:noWrap/>
            <w:vAlign w:val="center"/>
            <w:hideMark/>
          </w:tcPr>
          <w:p w:rsidR="00081FE7" w:rsidRPr="00081FE7" w:rsidRDefault="00081FE7" w:rsidP="00A03FD7">
            <w:pPr>
              <w:jc w:val="center"/>
              <w:rPr>
                <w:rFonts w:ascii="Cambria" w:hAnsi="Cambria"/>
                <w:sz w:val="18"/>
                <w:szCs w:val="18"/>
              </w:rPr>
            </w:pPr>
            <w:r w:rsidRPr="00081FE7">
              <w:rPr>
                <w:rFonts w:ascii="Cambria" w:hAnsi="Cambria"/>
                <w:sz w:val="18"/>
                <w:szCs w:val="18"/>
              </w:rPr>
              <w:t>Mensual</w:t>
            </w:r>
          </w:p>
          <w:p w:rsidR="00081FE7" w:rsidRPr="00081FE7" w:rsidRDefault="005F6736" w:rsidP="00A03FD7">
            <w:pPr>
              <w:jc w:val="center"/>
              <w:rPr>
                <w:rFonts w:ascii="Cambria" w:hAnsi="Cambria"/>
                <w:sz w:val="18"/>
                <w:szCs w:val="18"/>
              </w:rPr>
            </w:pPr>
            <w:r>
              <w:rPr>
                <w:rFonts w:ascii="Cambria" w:hAnsi="Cambria"/>
                <w:sz w:val="18"/>
                <w:szCs w:val="18"/>
              </w:rPr>
              <w:t>31-Dic-2023</w:t>
            </w:r>
          </w:p>
        </w:tc>
      </w:tr>
    </w:tbl>
    <w:p w:rsidR="005F6736" w:rsidRDefault="005F6736" w:rsidP="005F6736">
      <w:pPr>
        <w:pStyle w:val="Sinespaciado"/>
        <w:ind w:right="55"/>
        <w:rPr>
          <w:b/>
          <w:sz w:val="22"/>
        </w:rPr>
      </w:pPr>
    </w:p>
    <w:p w:rsidR="00081FE7" w:rsidRPr="00081FE7" w:rsidRDefault="00081FE7" w:rsidP="00081FE7">
      <w:pPr>
        <w:pStyle w:val="Sinespaciado"/>
        <w:numPr>
          <w:ilvl w:val="1"/>
          <w:numId w:val="31"/>
        </w:numPr>
        <w:ind w:left="567" w:right="55" w:hanging="567"/>
        <w:rPr>
          <w:b/>
          <w:sz w:val="22"/>
        </w:rPr>
      </w:pPr>
      <w:r w:rsidRPr="00081FE7">
        <w:rPr>
          <w:b/>
          <w:sz w:val="22"/>
        </w:rPr>
        <w:t>INICIATIVAS ADICIONALES</w:t>
      </w:r>
    </w:p>
    <w:p w:rsidR="00081FE7" w:rsidRPr="00081FE7" w:rsidRDefault="00081FE7" w:rsidP="00081FE7">
      <w:pPr>
        <w:rPr>
          <w:rFonts w:ascii="Cambria" w:hAnsi="Cambria"/>
        </w:rPr>
      </w:pPr>
    </w:p>
    <w:p w:rsidR="00081FE7" w:rsidRPr="00081FE7" w:rsidRDefault="00081FE7" w:rsidP="00081FE7">
      <w:pPr>
        <w:pStyle w:val="Sinespaciado"/>
        <w:ind w:left="0" w:right="55" w:firstLine="0"/>
        <w:rPr>
          <w:sz w:val="22"/>
        </w:rPr>
      </w:pPr>
      <w:r w:rsidRPr="00081FE7">
        <w:rPr>
          <w:sz w:val="22"/>
        </w:rPr>
        <w:t>Mediante resolución 129 del 31 de agosto de 2020, se unificó el Código de Ética y el Código de Integridad, como una iniciativa para fortalecer la estrategia de lucha contra la corrupción, e incorpora dentro de su ejercicio de planeación, actividades encaminadas a fomentar la integridad y brindar transparencia y eficiencia en el uso de los recursos físicos, financieros, tecnológicos y de talento humano, con el fin de visibilizar el accionar de la administración pública.</w:t>
      </w:r>
    </w:p>
    <w:p w:rsidR="00081FE7" w:rsidRPr="00081FE7" w:rsidRDefault="00081FE7" w:rsidP="00081FE7">
      <w:pPr>
        <w:pStyle w:val="Sinespaciado"/>
        <w:ind w:left="0" w:right="55" w:firstLine="0"/>
        <w:rPr>
          <w:sz w:val="22"/>
        </w:rPr>
      </w:pPr>
    </w:p>
    <w:p w:rsidR="00081FE7" w:rsidRPr="00081FE7" w:rsidRDefault="00081FE7" w:rsidP="00081FE7">
      <w:pPr>
        <w:pStyle w:val="Sinespaciado"/>
        <w:ind w:left="0" w:right="55" w:firstLine="0"/>
        <w:rPr>
          <w:sz w:val="22"/>
        </w:rPr>
      </w:pPr>
      <w:r w:rsidRPr="00081FE7">
        <w:rPr>
          <w:sz w:val="22"/>
        </w:rPr>
        <w:t>El Código de Integridad como herramienta de cambio cultural, permite definir acciones dirigidas a modificar las creencias, suposiciones, actitudes, conocimientos y comportamientos de los servidores públicos, logrando la conformación de nuevas normas sociales basadas en un cambio común de comportamientos, tales como:</w:t>
      </w:r>
    </w:p>
    <w:p w:rsidR="00081FE7" w:rsidRPr="00081FE7" w:rsidRDefault="00081FE7" w:rsidP="00081FE7">
      <w:pPr>
        <w:pStyle w:val="Sinespaciado"/>
        <w:ind w:left="0" w:right="55" w:firstLine="0"/>
        <w:rPr>
          <w:sz w:val="22"/>
        </w:rPr>
      </w:pPr>
    </w:p>
    <w:p w:rsidR="00081FE7" w:rsidRPr="00081FE7" w:rsidRDefault="00081FE7" w:rsidP="00081FE7">
      <w:pPr>
        <w:pStyle w:val="Sinespaciado"/>
        <w:numPr>
          <w:ilvl w:val="0"/>
          <w:numId w:val="46"/>
        </w:numPr>
        <w:ind w:right="55"/>
        <w:rPr>
          <w:sz w:val="22"/>
        </w:rPr>
      </w:pPr>
      <w:r w:rsidRPr="00081FE7">
        <w:rPr>
          <w:sz w:val="22"/>
        </w:rPr>
        <w:t>Las percepciones que tienen los servidores públicos sobre su trabajo, basado en el enaltecimiento, orgullo y vocación por su rol al servicio de los ciudadanos y en el entendimiento de la importancia que tiene su labor para el país y específicamente para la coyuntura actual.</w:t>
      </w:r>
    </w:p>
    <w:p w:rsidR="00081FE7" w:rsidRPr="00081FE7" w:rsidRDefault="00081FE7" w:rsidP="00081FE7">
      <w:pPr>
        <w:pStyle w:val="Sinespaciado"/>
        <w:numPr>
          <w:ilvl w:val="0"/>
          <w:numId w:val="46"/>
        </w:numPr>
        <w:ind w:right="55"/>
        <w:rPr>
          <w:sz w:val="22"/>
        </w:rPr>
      </w:pPr>
      <w:r w:rsidRPr="00081FE7">
        <w:rPr>
          <w:sz w:val="22"/>
        </w:rPr>
        <w:t>Los hábitos y comportamientos cotidianos de los servidores en su trabajo diario, basados en el fortalecimiento de su quehacer íntegro, eficiente y de calidad.</w:t>
      </w:r>
    </w:p>
    <w:p w:rsidR="00081FE7" w:rsidRPr="00081FE7" w:rsidRDefault="00081FE7" w:rsidP="00081FE7">
      <w:pPr>
        <w:pStyle w:val="Sinespaciado"/>
        <w:ind w:left="0" w:right="55" w:firstLine="0"/>
        <w:rPr>
          <w:sz w:val="22"/>
        </w:rPr>
      </w:pPr>
    </w:p>
    <w:tbl>
      <w:tblPr>
        <w:tblW w:w="9982" w:type="dxa"/>
        <w:tblBorders>
          <w:top w:val="single" w:sz="4" w:space="0" w:color="366092"/>
          <w:left w:val="single" w:sz="4" w:space="0" w:color="366092"/>
          <w:bottom w:val="single" w:sz="4" w:space="0" w:color="366092"/>
          <w:right w:val="single" w:sz="4" w:space="0" w:color="366092"/>
          <w:insideH w:val="single" w:sz="4" w:space="0" w:color="366092"/>
          <w:insideV w:val="single" w:sz="4" w:space="0" w:color="366092"/>
        </w:tblBorders>
        <w:tblCellMar>
          <w:left w:w="70" w:type="dxa"/>
          <w:right w:w="70" w:type="dxa"/>
        </w:tblCellMar>
        <w:tblLook w:val="04A0" w:firstRow="1" w:lastRow="0" w:firstColumn="1" w:lastColumn="0" w:noHBand="0" w:noVBand="1"/>
      </w:tblPr>
      <w:tblGrid>
        <w:gridCol w:w="2405"/>
        <w:gridCol w:w="425"/>
        <w:gridCol w:w="2268"/>
        <w:gridCol w:w="1774"/>
        <w:gridCol w:w="1701"/>
        <w:gridCol w:w="1409"/>
      </w:tblGrid>
      <w:tr w:rsidR="00081FE7" w:rsidRPr="00081FE7" w:rsidTr="00A03FD7">
        <w:trPr>
          <w:trHeight w:val="172"/>
          <w:tblHeader/>
        </w:trPr>
        <w:tc>
          <w:tcPr>
            <w:tcW w:w="9982" w:type="dxa"/>
            <w:gridSpan w:val="6"/>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Plan Anticorrupción y de Atención al Ciudadano</w:t>
            </w:r>
          </w:p>
        </w:tc>
      </w:tr>
      <w:tr w:rsidR="00081FE7" w:rsidRPr="00081FE7" w:rsidTr="00A03FD7">
        <w:trPr>
          <w:trHeight w:val="218"/>
          <w:tblHeader/>
        </w:trPr>
        <w:tc>
          <w:tcPr>
            <w:tcW w:w="9982" w:type="dxa"/>
            <w:gridSpan w:val="6"/>
            <w:shd w:val="clear" w:color="000000" w:fill="B8CCE4"/>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Componente 6:  Iniciativas Adicionales</w:t>
            </w:r>
          </w:p>
        </w:tc>
      </w:tr>
      <w:tr w:rsidR="00081FE7" w:rsidRPr="00081FE7" w:rsidTr="00A03FD7">
        <w:trPr>
          <w:trHeight w:val="278"/>
          <w:tblHeader/>
        </w:trPr>
        <w:tc>
          <w:tcPr>
            <w:tcW w:w="2405" w:type="dxa"/>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Subcomponente</w:t>
            </w:r>
          </w:p>
        </w:tc>
        <w:tc>
          <w:tcPr>
            <w:tcW w:w="2693" w:type="dxa"/>
            <w:gridSpan w:val="2"/>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Actividades</w:t>
            </w:r>
          </w:p>
        </w:tc>
        <w:tc>
          <w:tcPr>
            <w:tcW w:w="1774" w:type="dxa"/>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Meta o Producto</w:t>
            </w:r>
          </w:p>
        </w:tc>
        <w:tc>
          <w:tcPr>
            <w:tcW w:w="1701" w:type="dxa"/>
            <w:shd w:val="clear" w:color="000000" w:fill="FFFFFF"/>
            <w:noWrap/>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 xml:space="preserve">Responsable </w:t>
            </w:r>
          </w:p>
        </w:tc>
        <w:tc>
          <w:tcPr>
            <w:tcW w:w="1409" w:type="dxa"/>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Fecha Programada</w:t>
            </w:r>
          </w:p>
        </w:tc>
      </w:tr>
      <w:tr w:rsidR="00081FE7" w:rsidRPr="00081FE7" w:rsidTr="00A03FD7">
        <w:trPr>
          <w:trHeight w:val="678"/>
        </w:trPr>
        <w:tc>
          <w:tcPr>
            <w:tcW w:w="2405" w:type="dxa"/>
            <w:vMerge w:val="restart"/>
            <w:shd w:val="clear" w:color="000000" w:fill="DCE6F1"/>
            <w:vAlign w:val="center"/>
            <w:hideMark/>
          </w:tcPr>
          <w:p w:rsidR="00081FE7" w:rsidRPr="00081FE7" w:rsidRDefault="00081FE7" w:rsidP="00A03FD7">
            <w:pPr>
              <w:rPr>
                <w:rFonts w:ascii="Cambria" w:hAnsi="Cambria"/>
                <w:sz w:val="18"/>
                <w:szCs w:val="18"/>
              </w:rPr>
            </w:pPr>
            <w:r w:rsidRPr="00081FE7">
              <w:rPr>
                <w:rFonts w:ascii="Cambria" w:hAnsi="Cambria"/>
                <w:sz w:val="18"/>
                <w:szCs w:val="18"/>
              </w:rPr>
              <w:t>Código de Integridad</w:t>
            </w:r>
          </w:p>
        </w:tc>
        <w:tc>
          <w:tcPr>
            <w:tcW w:w="425" w:type="dxa"/>
            <w:shd w:val="clear" w:color="000000" w:fill="FFFFFF"/>
            <w:vAlign w:val="center"/>
            <w:hideMark/>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6.1</w:t>
            </w:r>
          </w:p>
        </w:tc>
        <w:tc>
          <w:tcPr>
            <w:tcW w:w="2268" w:type="dxa"/>
            <w:shd w:val="clear" w:color="000000" w:fill="FFFFFF"/>
            <w:vAlign w:val="center"/>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Formular, presentar y aprobar  el  Plan  trabajo de la Política de Integridad</w:t>
            </w:r>
          </w:p>
        </w:tc>
        <w:tc>
          <w:tcPr>
            <w:tcW w:w="1774" w:type="dxa"/>
            <w:shd w:val="clear" w:color="000000" w:fill="FFFFFF"/>
            <w:vAlign w:val="center"/>
          </w:tcPr>
          <w:p w:rsidR="00081FE7" w:rsidRPr="00081FE7" w:rsidRDefault="00081FE7" w:rsidP="00A03FD7">
            <w:pPr>
              <w:rPr>
                <w:rFonts w:ascii="Cambria" w:hAnsi="Cambria"/>
                <w:sz w:val="18"/>
                <w:szCs w:val="18"/>
              </w:rPr>
            </w:pPr>
            <w:r w:rsidRPr="00081FE7">
              <w:rPr>
                <w:rFonts w:ascii="Cambria" w:hAnsi="Cambria"/>
                <w:sz w:val="18"/>
                <w:szCs w:val="18"/>
              </w:rPr>
              <w:t>Plan de Trabajo de la Política de Integridad elaborado y aprobado</w:t>
            </w:r>
          </w:p>
        </w:tc>
        <w:tc>
          <w:tcPr>
            <w:tcW w:w="1701" w:type="dxa"/>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Subdirección Administrativa y Financiera – Talento Humano</w:t>
            </w:r>
          </w:p>
        </w:tc>
        <w:tc>
          <w:tcPr>
            <w:tcW w:w="1409" w:type="dxa"/>
            <w:shd w:val="clear" w:color="000000" w:fill="FFFFFF"/>
            <w:noWrap/>
            <w:vAlign w:val="center"/>
          </w:tcPr>
          <w:p w:rsidR="00081FE7" w:rsidRPr="00081FE7" w:rsidRDefault="009D7222" w:rsidP="00A03FD7">
            <w:pPr>
              <w:jc w:val="center"/>
              <w:rPr>
                <w:rFonts w:ascii="Cambria" w:hAnsi="Cambria"/>
                <w:sz w:val="18"/>
                <w:szCs w:val="18"/>
              </w:rPr>
            </w:pPr>
            <w:r>
              <w:rPr>
                <w:rFonts w:ascii="Cambria" w:hAnsi="Cambria"/>
                <w:sz w:val="18"/>
                <w:szCs w:val="18"/>
              </w:rPr>
              <w:t>31-Ene-2023</w:t>
            </w:r>
          </w:p>
        </w:tc>
      </w:tr>
      <w:tr w:rsidR="00081FE7" w:rsidRPr="00081FE7" w:rsidTr="00A03FD7">
        <w:trPr>
          <w:trHeight w:val="678"/>
        </w:trPr>
        <w:tc>
          <w:tcPr>
            <w:tcW w:w="2405" w:type="dxa"/>
            <w:vMerge/>
            <w:shd w:val="clear" w:color="000000" w:fill="DCE6F1"/>
            <w:vAlign w:val="center"/>
          </w:tcPr>
          <w:p w:rsidR="00081FE7" w:rsidRPr="00081FE7" w:rsidRDefault="00081FE7" w:rsidP="00A03FD7">
            <w:pPr>
              <w:rPr>
                <w:rFonts w:ascii="Cambria" w:hAnsi="Cambria"/>
                <w:sz w:val="18"/>
                <w:szCs w:val="18"/>
              </w:rPr>
            </w:pPr>
          </w:p>
        </w:tc>
        <w:tc>
          <w:tcPr>
            <w:tcW w:w="425" w:type="dxa"/>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6.2</w:t>
            </w:r>
          </w:p>
        </w:tc>
        <w:tc>
          <w:tcPr>
            <w:tcW w:w="2268" w:type="dxa"/>
            <w:shd w:val="clear" w:color="000000" w:fill="FFFFFF"/>
            <w:vAlign w:val="center"/>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Ejecutar las actividades definidas y aprobadas en el Plan de Trabajo de la Política de Integridad</w:t>
            </w:r>
          </w:p>
        </w:tc>
        <w:tc>
          <w:tcPr>
            <w:tcW w:w="1774" w:type="dxa"/>
            <w:shd w:val="clear" w:color="000000" w:fill="FFFFFF"/>
            <w:vAlign w:val="center"/>
          </w:tcPr>
          <w:p w:rsidR="00081FE7" w:rsidRPr="00081FE7" w:rsidRDefault="00081FE7" w:rsidP="00A03FD7">
            <w:pPr>
              <w:rPr>
                <w:rFonts w:ascii="Cambria" w:hAnsi="Cambria"/>
                <w:sz w:val="18"/>
                <w:szCs w:val="18"/>
              </w:rPr>
            </w:pPr>
            <w:r w:rsidRPr="00081FE7">
              <w:rPr>
                <w:rFonts w:ascii="Cambria" w:hAnsi="Cambria"/>
                <w:sz w:val="18"/>
                <w:szCs w:val="18"/>
              </w:rPr>
              <w:t>Plan de Trabajo de la Política de Integridad ejecutado</w:t>
            </w:r>
          </w:p>
        </w:tc>
        <w:tc>
          <w:tcPr>
            <w:tcW w:w="1701" w:type="dxa"/>
            <w:shd w:val="clear" w:color="000000" w:fill="FFFFFF"/>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Subdirección Administrativa y Financiera – Talento Humano</w:t>
            </w:r>
          </w:p>
        </w:tc>
        <w:tc>
          <w:tcPr>
            <w:tcW w:w="1409" w:type="dxa"/>
            <w:shd w:val="clear" w:color="000000" w:fill="FFFFFF"/>
            <w:noWrap/>
            <w:vAlign w:val="center"/>
          </w:tcPr>
          <w:p w:rsidR="00081FE7" w:rsidRPr="00081FE7" w:rsidRDefault="00081FE7" w:rsidP="00A03FD7">
            <w:pPr>
              <w:jc w:val="center"/>
              <w:rPr>
                <w:rFonts w:ascii="Cambria" w:hAnsi="Cambria"/>
                <w:sz w:val="18"/>
                <w:szCs w:val="18"/>
              </w:rPr>
            </w:pPr>
            <w:r w:rsidRPr="00081FE7">
              <w:rPr>
                <w:rFonts w:ascii="Cambria" w:hAnsi="Cambria"/>
                <w:sz w:val="18"/>
                <w:szCs w:val="18"/>
              </w:rPr>
              <w:t>31-Di</w:t>
            </w:r>
            <w:r w:rsidR="009D7222">
              <w:rPr>
                <w:rFonts w:ascii="Cambria" w:hAnsi="Cambria"/>
                <w:sz w:val="18"/>
                <w:szCs w:val="18"/>
              </w:rPr>
              <w:t>c-2023</w:t>
            </w:r>
          </w:p>
        </w:tc>
      </w:tr>
      <w:tr w:rsidR="00081FE7" w:rsidRPr="00081FE7" w:rsidTr="00A03FD7">
        <w:trPr>
          <w:trHeight w:val="678"/>
        </w:trPr>
        <w:tc>
          <w:tcPr>
            <w:tcW w:w="2405" w:type="dxa"/>
            <w:vMerge/>
            <w:shd w:val="clear" w:color="000000" w:fill="DCE6F1"/>
            <w:vAlign w:val="center"/>
          </w:tcPr>
          <w:p w:rsidR="00081FE7" w:rsidRPr="00081FE7" w:rsidRDefault="00081FE7" w:rsidP="00A03FD7">
            <w:pPr>
              <w:rPr>
                <w:rFonts w:ascii="Cambria" w:hAnsi="Cambria"/>
                <w:sz w:val="18"/>
                <w:szCs w:val="18"/>
              </w:rPr>
            </w:pPr>
          </w:p>
        </w:tc>
        <w:tc>
          <w:tcPr>
            <w:tcW w:w="425" w:type="dxa"/>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6.3</w:t>
            </w:r>
          </w:p>
        </w:tc>
        <w:tc>
          <w:tcPr>
            <w:tcW w:w="2268" w:type="dxa"/>
            <w:shd w:val="clear" w:color="000000" w:fill="FFFFFF"/>
            <w:vAlign w:val="center"/>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Elaborar aprobar e incorporar al Plan de Acción la estrategia institucional de gestión de conflictos de intereses</w:t>
            </w:r>
          </w:p>
        </w:tc>
        <w:tc>
          <w:tcPr>
            <w:tcW w:w="1774" w:type="dxa"/>
            <w:shd w:val="clear" w:color="000000" w:fill="FFFFFF"/>
            <w:vAlign w:val="center"/>
          </w:tcPr>
          <w:p w:rsidR="00081FE7" w:rsidRPr="00081FE7" w:rsidRDefault="00081FE7" w:rsidP="00A03FD7">
            <w:pPr>
              <w:jc w:val="both"/>
              <w:rPr>
                <w:rFonts w:ascii="Cambria" w:hAnsi="Cambria"/>
                <w:sz w:val="18"/>
                <w:szCs w:val="18"/>
              </w:rPr>
            </w:pPr>
            <w:r w:rsidRPr="00081FE7">
              <w:rPr>
                <w:rFonts w:ascii="Cambria" w:hAnsi="Cambria"/>
                <w:sz w:val="18"/>
                <w:szCs w:val="18"/>
              </w:rPr>
              <w:t>Estrategia de gestión de conflictos de intereses</w:t>
            </w:r>
          </w:p>
        </w:tc>
        <w:tc>
          <w:tcPr>
            <w:tcW w:w="1701" w:type="dxa"/>
            <w:shd w:val="clear" w:color="000000" w:fill="FFFFFF"/>
            <w:vAlign w:val="center"/>
          </w:tcPr>
          <w:p w:rsidR="00081FE7" w:rsidRPr="00081FE7" w:rsidRDefault="001513E7" w:rsidP="00A03FD7">
            <w:pPr>
              <w:jc w:val="center"/>
              <w:rPr>
                <w:rFonts w:ascii="Cambria" w:hAnsi="Cambria"/>
                <w:sz w:val="18"/>
                <w:szCs w:val="18"/>
              </w:rPr>
            </w:pPr>
            <w:r>
              <w:rPr>
                <w:rFonts w:ascii="Cambria" w:hAnsi="Cambria"/>
                <w:sz w:val="18"/>
                <w:szCs w:val="18"/>
              </w:rPr>
              <w:t>Oficina Asesora de Planeación</w:t>
            </w:r>
          </w:p>
        </w:tc>
        <w:tc>
          <w:tcPr>
            <w:tcW w:w="1409" w:type="dxa"/>
            <w:shd w:val="clear" w:color="000000" w:fill="FFFFFF"/>
            <w:noWrap/>
            <w:vAlign w:val="center"/>
          </w:tcPr>
          <w:p w:rsidR="00081FE7" w:rsidRPr="00081FE7" w:rsidRDefault="00081FE7" w:rsidP="009D7222">
            <w:pPr>
              <w:jc w:val="center"/>
              <w:rPr>
                <w:rFonts w:ascii="Cambria" w:hAnsi="Cambria"/>
                <w:sz w:val="18"/>
                <w:szCs w:val="18"/>
              </w:rPr>
            </w:pPr>
            <w:r w:rsidRPr="00081FE7">
              <w:rPr>
                <w:rFonts w:ascii="Cambria" w:hAnsi="Cambria"/>
                <w:sz w:val="18"/>
                <w:szCs w:val="18"/>
              </w:rPr>
              <w:t>3</w:t>
            </w:r>
            <w:r w:rsidR="009D7222">
              <w:rPr>
                <w:rFonts w:ascii="Cambria" w:hAnsi="Cambria"/>
                <w:sz w:val="18"/>
                <w:szCs w:val="18"/>
              </w:rPr>
              <w:t>1</w:t>
            </w:r>
            <w:r w:rsidRPr="00081FE7">
              <w:rPr>
                <w:rFonts w:ascii="Cambria" w:hAnsi="Cambria"/>
                <w:sz w:val="18"/>
                <w:szCs w:val="18"/>
              </w:rPr>
              <w:t>-</w:t>
            </w:r>
            <w:r w:rsidR="009D7222">
              <w:rPr>
                <w:rFonts w:ascii="Cambria" w:hAnsi="Cambria"/>
                <w:sz w:val="18"/>
                <w:szCs w:val="18"/>
              </w:rPr>
              <w:t>Ene</w:t>
            </w:r>
            <w:r w:rsidRPr="00081FE7">
              <w:rPr>
                <w:rFonts w:ascii="Cambria" w:hAnsi="Cambria"/>
                <w:sz w:val="18"/>
                <w:szCs w:val="18"/>
              </w:rPr>
              <w:t>-202</w:t>
            </w:r>
            <w:r w:rsidR="009D7222">
              <w:rPr>
                <w:rFonts w:ascii="Cambria" w:hAnsi="Cambria"/>
                <w:sz w:val="18"/>
                <w:szCs w:val="18"/>
              </w:rPr>
              <w:t>3</w:t>
            </w:r>
          </w:p>
        </w:tc>
      </w:tr>
      <w:tr w:rsidR="00081FE7" w:rsidRPr="00081FE7" w:rsidTr="00A03FD7">
        <w:trPr>
          <w:trHeight w:val="70"/>
        </w:trPr>
        <w:tc>
          <w:tcPr>
            <w:tcW w:w="2405" w:type="dxa"/>
            <w:vMerge/>
            <w:shd w:val="clear" w:color="000000" w:fill="DCE6F1"/>
            <w:vAlign w:val="center"/>
          </w:tcPr>
          <w:p w:rsidR="00081FE7" w:rsidRPr="00081FE7" w:rsidRDefault="00081FE7" w:rsidP="00A03FD7">
            <w:pPr>
              <w:rPr>
                <w:rFonts w:ascii="Cambria" w:hAnsi="Cambria"/>
                <w:sz w:val="18"/>
                <w:szCs w:val="18"/>
              </w:rPr>
            </w:pPr>
          </w:p>
        </w:tc>
        <w:tc>
          <w:tcPr>
            <w:tcW w:w="425" w:type="dxa"/>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6.4</w:t>
            </w:r>
          </w:p>
        </w:tc>
        <w:tc>
          <w:tcPr>
            <w:tcW w:w="2268" w:type="dxa"/>
            <w:shd w:val="clear" w:color="000000" w:fill="FFFFFF"/>
            <w:vAlign w:val="center"/>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Elaborar, presentar y aprobar el Plan de Trabajo para la gestión de conflicto de intereses</w:t>
            </w:r>
          </w:p>
        </w:tc>
        <w:tc>
          <w:tcPr>
            <w:tcW w:w="1774" w:type="dxa"/>
            <w:shd w:val="clear" w:color="000000" w:fill="FFFFFF"/>
            <w:vAlign w:val="center"/>
          </w:tcPr>
          <w:p w:rsidR="00081FE7" w:rsidRPr="00081FE7" w:rsidRDefault="00081FE7" w:rsidP="00A03FD7">
            <w:pPr>
              <w:jc w:val="both"/>
              <w:rPr>
                <w:rFonts w:ascii="Cambria" w:hAnsi="Cambria"/>
                <w:sz w:val="18"/>
                <w:szCs w:val="18"/>
              </w:rPr>
            </w:pPr>
            <w:r w:rsidRPr="00081FE7">
              <w:rPr>
                <w:rFonts w:ascii="Cambria" w:hAnsi="Cambria"/>
                <w:sz w:val="18"/>
                <w:szCs w:val="18"/>
              </w:rPr>
              <w:t>Plan de Trabajo para la gestión de conflicto de intereses formulado y aprobado</w:t>
            </w:r>
          </w:p>
        </w:tc>
        <w:tc>
          <w:tcPr>
            <w:tcW w:w="1701" w:type="dxa"/>
            <w:shd w:val="clear" w:color="000000" w:fill="FFFFFF"/>
            <w:vAlign w:val="center"/>
          </w:tcPr>
          <w:p w:rsidR="00081FE7" w:rsidRPr="00081FE7" w:rsidRDefault="001513E7" w:rsidP="00A03FD7">
            <w:pPr>
              <w:jc w:val="center"/>
              <w:rPr>
                <w:rFonts w:ascii="Cambria" w:hAnsi="Cambria"/>
                <w:sz w:val="18"/>
                <w:szCs w:val="18"/>
              </w:rPr>
            </w:pPr>
            <w:r>
              <w:rPr>
                <w:rFonts w:ascii="Cambria" w:hAnsi="Cambria"/>
                <w:sz w:val="18"/>
                <w:szCs w:val="18"/>
              </w:rPr>
              <w:t>Oficina Asesora de Planeación</w:t>
            </w:r>
          </w:p>
        </w:tc>
        <w:tc>
          <w:tcPr>
            <w:tcW w:w="1409" w:type="dxa"/>
            <w:shd w:val="clear" w:color="000000" w:fill="FFFFFF"/>
            <w:noWrap/>
            <w:vAlign w:val="center"/>
          </w:tcPr>
          <w:p w:rsidR="00081FE7" w:rsidRPr="00081FE7" w:rsidRDefault="009D7222" w:rsidP="00A03FD7">
            <w:pPr>
              <w:jc w:val="center"/>
              <w:rPr>
                <w:rFonts w:ascii="Cambria" w:hAnsi="Cambria"/>
                <w:sz w:val="18"/>
                <w:szCs w:val="18"/>
              </w:rPr>
            </w:pPr>
            <w:r>
              <w:rPr>
                <w:rFonts w:ascii="Cambria" w:hAnsi="Cambria"/>
                <w:sz w:val="18"/>
                <w:szCs w:val="18"/>
              </w:rPr>
              <w:t>31-Ene-2023</w:t>
            </w:r>
          </w:p>
        </w:tc>
      </w:tr>
      <w:tr w:rsidR="00081FE7" w:rsidRPr="00081FE7" w:rsidTr="00A03FD7">
        <w:trPr>
          <w:trHeight w:val="70"/>
        </w:trPr>
        <w:tc>
          <w:tcPr>
            <w:tcW w:w="2405" w:type="dxa"/>
            <w:vMerge/>
            <w:shd w:val="clear" w:color="000000" w:fill="DCE6F1"/>
            <w:vAlign w:val="center"/>
          </w:tcPr>
          <w:p w:rsidR="00081FE7" w:rsidRPr="00081FE7" w:rsidRDefault="00081FE7" w:rsidP="00A03FD7">
            <w:pPr>
              <w:rPr>
                <w:rFonts w:ascii="Cambria" w:hAnsi="Cambria"/>
                <w:sz w:val="18"/>
                <w:szCs w:val="18"/>
              </w:rPr>
            </w:pPr>
          </w:p>
        </w:tc>
        <w:tc>
          <w:tcPr>
            <w:tcW w:w="425" w:type="dxa"/>
            <w:shd w:val="clear" w:color="000000" w:fill="FFFFFF"/>
            <w:vAlign w:val="center"/>
          </w:tcPr>
          <w:p w:rsidR="00081FE7" w:rsidRPr="00081FE7" w:rsidRDefault="00081FE7" w:rsidP="00A03FD7">
            <w:pPr>
              <w:jc w:val="center"/>
              <w:rPr>
                <w:rFonts w:ascii="Cambria" w:hAnsi="Cambria"/>
                <w:b/>
                <w:bCs/>
                <w:sz w:val="18"/>
                <w:szCs w:val="18"/>
              </w:rPr>
            </w:pPr>
            <w:r w:rsidRPr="00081FE7">
              <w:rPr>
                <w:rFonts w:ascii="Cambria" w:hAnsi="Cambria"/>
                <w:b/>
                <w:bCs/>
                <w:sz w:val="18"/>
                <w:szCs w:val="18"/>
              </w:rPr>
              <w:t>6.5</w:t>
            </w:r>
          </w:p>
        </w:tc>
        <w:tc>
          <w:tcPr>
            <w:tcW w:w="2268" w:type="dxa"/>
            <w:shd w:val="clear" w:color="000000" w:fill="FFFFFF"/>
            <w:vAlign w:val="center"/>
          </w:tcPr>
          <w:p w:rsidR="00081FE7" w:rsidRPr="00081FE7" w:rsidRDefault="00081FE7" w:rsidP="00A03FD7">
            <w:pPr>
              <w:jc w:val="both"/>
              <w:rPr>
                <w:rFonts w:ascii="Cambria" w:hAnsi="Cambria"/>
                <w:i/>
                <w:iCs/>
                <w:sz w:val="18"/>
                <w:szCs w:val="18"/>
              </w:rPr>
            </w:pPr>
            <w:r w:rsidRPr="00081FE7">
              <w:rPr>
                <w:rFonts w:ascii="Cambria" w:hAnsi="Cambria"/>
                <w:i/>
                <w:iCs/>
                <w:sz w:val="18"/>
                <w:szCs w:val="18"/>
              </w:rPr>
              <w:t>Ejecutar el plan de trabajo para la gestión de conflictos de intereses</w:t>
            </w:r>
          </w:p>
        </w:tc>
        <w:tc>
          <w:tcPr>
            <w:tcW w:w="1774" w:type="dxa"/>
            <w:shd w:val="clear" w:color="000000" w:fill="FFFFFF"/>
            <w:vAlign w:val="center"/>
          </w:tcPr>
          <w:p w:rsidR="00081FE7" w:rsidRPr="00081FE7" w:rsidRDefault="00081FE7" w:rsidP="00A03FD7">
            <w:pPr>
              <w:jc w:val="both"/>
              <w:rPr>
                <w:rFonts w:ascii="Cambria" w:hAnsi="Cambria"/>
                <w:sz w:val="18"/>
                <w:szCs w:val="18"/>
              </w:rPr>
            </w:pPr>
            <w:r w:rsidRPr="00081FE7">
              <w:rPr>
                <w:rFonts w:ascii="Cambria" w:hAnsi="Cambria"/>
                <w:sz w:val="18"/>
                <w:szCs w:val="18"/>
              </w:rPr>
              <w:t>Plan de Trabajo para la gestión de conflicto de intereses ejecutado</w:t>
            </w:r>
          </w:p>
        </w:tc>
        <w:tc>
          <w:tcPr>
            <w:tcW w:w="1701" w:type="dxa"/>
            <w:shd w:val="clear" w:color="000000" w:fill="FFFFFF"/>
            <w:vAlign w:val="center"/>
          </w:tcPr>
          <w:p w:rsidR="00081FE7" w:rsidRDefault="001513E7" w:rsidP="00A03FD7">
            <w:pPr>
              <w:jc w:val="center"/>
              <w:rPr>
                <w:rFonts w:ascii="Cambria" w:hAnsi="Cambria"/>
                <w:sz w:val="18"/>
                <w:szCs w:val="18"/>
              </w:rPr>
            </w:pPr>
            <w:r>
              <w:rPr>
                <w:rFonts w:ascii="Cambria" w:hAnsi="Cambria"/>
                <w:sz w:val="18"/>
                <w:szCs w:val="18"/>
              </w:rPr>
              <w:t>Oficina Asesora de Planeación</w:t>
            </w:r>
          </w:p>
          <w:p w:rsidR="001513E7" w:rsidRDefault="001513E7" w:rsidP="00A03FD7">
            <w:pPr>
              <w:jc w:val="center"/>
              <w:rPr>
                <w:rFonts w:ascii="Cambria" w:hAnsi="Cambria"/>
                <w:sz w:val="18"/>
                <w:szCs w:val="18"/>
              </w:rPr>
            </w:pPr>
          </w:p>
          <w:p w:rsidR="001513E7" w:rsidRPr="00081FE7" w:rsidRDefault="001513E7" w:rsidP="00A03FD7">
            <w:pPr>
              <w:jc w:val="center"/>
              <w:rPr>
                <w:rFonts w:ascii="Cambria" w:hAnsi="Cambria"/>
                <w:sz w:val="18"/>
                <w:szCs w:val="18"/>
              </w:rPr>
            </w:pPr>
            <w:r>
              <w:rPr>
                <w:rFonts w:ascii="Cambria" w:hAnsi="Cambria"/>
                <w:sz w:val="18"/>
                <w:szCs w:val="18"/>
              </w:rPr>
              <w:t>Todas las áreas</w:t>
            </w:r>
          </w:p>
        </w:tc>
        <w:tc>
          <w:tcPr>
            <w:tcW w:w="1409" w:type="dxa"/>
            <w:shd w:val="clear" w:color="000000" w:fill="FFFFFF"/>
            <w:noWrap/>
            <w:vAlign w:val="center"/>
          </w:tcPr>
          <w:p w:rsidR="00081FE7" w:rsidRPr="00081FE7" w:rsidRDefault="001513E7" w:rsidP="00A03FD7">
            <w:pPr>
              <w:jc w:val="center"/>
              <w:rPr>
                <w:rFonts w:ascii="Cambria" w:hAnsi="Cambria"/>
                <w:sz w:val="18"/>
                <w:szCs w:val="18"/>
              </w:rPr>
            </w:pPr>
            <w:r>
              <w:rPr>
                <w:rFonts w:ascii="Cambria" w:hAnsi="Cambria"/>
                <w:sz w:val="18"/>
                <w:szCs w:val="18"/>
              </w:rPr>
              <w:t>31-Dic-2023</w:t>
            </w:r>
            <w:bookmarkStart w:id="1" w:name="_GoBack"/>
            <w:bookmarkEnd w:id="1"/>
          </w:p>
        </w:tc>
      </w:tr>
    </w:tbl>
    <w:p w:rsidR="00081FE7" w:rsidRPr="00081FE7" w:rsidRDefault="00081FE7" w:rsidP="00081FE7">
      <w:pPr>
        <w:rPr>
          <w:rFonts w:ascii="Cambria" w:hAnsi="Cambria"/>
        </w:rPr>
      </w:pPr>
    </w:p>
    <w:p w:rsidR="00081FE7" w:rsidRPr="00081FE7" w:rsidRDefault="00081FE7" w:rsidP="00081FE7">
      <w:pPr>
        <w:rPr>
          <w:rFonts w:ascii="Cambria" w:hAnsi="Cambria"/>
        </w:rPr>
      </w:pPr>
    </w:p>
    <w:p w:rsidR="00EE631C" w:rsidRPr="00081FE7" w:rsidRDefault="00BF3AEB" w:rsidP="00081FE7">
      <w:pPr>
        <w:rPr>
          <w:rFonts w:ascii="Cambria" w:hAnsi="Cambria"/>
        </w:rPr>
      </w:pPr>
      <w:r w:rsidRPr="00081FE7">
        <w:rPr>
          <w:rFonts w:ascii="Cambria" w:hAnsi="Cambria"/>
        </w:rPr>
        <w:t xml:space="preserve"> </w:t>
      </w:r>
    </w:p>
    <w:sectPr w:rsidR="00EE631C" w:rsidRPr="00081FE7" w:rsidSect="00C519F8">
      <w:headerReference w:type="default" r:id="rId17"/>
      <w:footerReference w:type="even" r:id="rId18"/>
      <w:footerReference w:type="default" r:id="rId19"/>
      <w:pgSz w:w="12240" w:h="15840"/>
      <w:pgMar w:top="2694" w:right="1892" w:bottom="2410" w:left="1843" w:header="708" w:footer="5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D06" w:rsidRDefault="00063D06">
      <w:r>
        <w:separator/>
      </w:r>
    </w:p>
  </w:endnote>
  <w:endnote w:type="continuationSeparator" w:id="0">
    <w:p w:rsidR="00063D06" w:rsidRDefault="00063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FuturaStd-Medium">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06" w:rsidRDefault="00063D06" w:rsidP="00BB51D3">
    <w:pPr>
      <w:pStyle w:val="Piedepgina"/>
      <w:tabs>
        <w:tab w:val="clear" w:pos="4252"/>
        <w:tab w:val="clear" w:pos="8504"/>
        <w:tab w:val="center" w:pos="4419"/>
        <w:tab w:val="right" w:pos="8838"/>
      </w:tabs>
    </w:pPr>
    <w:r>
      <w:rPr>
        <w:lang w:val="es-ES"/>
      </w:rPr>
      <w:t>[Escriba texto]</w:t>
    </w:r>
    <w:r>
      <w:rPr>
        <w:lang w:val="es-ES"/>
      </w:rPr>
      <w:tab/>
      <w:t>[Escriba texto]</w:t>
    </w:r>
    <w:r>
      <w:rPr>
        <w:lang w:val="es-ES"/>
      </w:rPr>
      <w:tab/>
      <w:t>[Escriba texto]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06" w:rsidRPr="00DF7713" w:rsidRDefault="00063D06" w:rsidP="002007AA">
    <w:pPr>
      <w:pStyle w:val="Body"/>
      <w:jc w:val="center"/>
      <w:rPr>
        <w:rFonts w:ascii="Arial Narrow" w:hAnsi="Arial Narrow"/>
        <w:b/>
        <w:color w:val="595959"/>
        <w:sz w:val="18"/>
        <w:szCs w:val="18"/>
        <w:lang w:val="es-ES_tradnl"/>
      </w:rPr>
    </w:pPr>
    <w:r>
      <w:rPr>
        <w:rFonts w:ascii="Arial Narrow" w:hAnsi="Arial Narrow"/>
        <w:b/>
        <w:noProof/>
        <w:color w:val="595959"/>
        <w:sz w:val="18"/>
        <w:szCs w:val="18"/>
        <w:lang w:val="es-CO"/>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-760730</wp:posOffset>
              </wp:positionV>
              <wp:extent cx="3429000" cy="1019175"/>
              <wp:effectExtent l="0" t="127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3D06" w:rsidRDefault="00063D06" w:rsidP="00FA7F48">
                          <w:pPr>
                            <w:pStyle w:val="Body"/>
                            <w:rPr>
                              <w:rFonts w:ascii="Arial" w:hAnsi="Arial" w:cs="Arial"/>
                              <w:b/>
                              <w:color w:val="595959"/>
                              <w:sz w:val="16"/>
                              <w:szCs w:val="16"/>
                              <w:lang w:val="es-ES_tradnl"/>
                            </w:rPr>
                          </w:pPr>
                          <w:r w:rsidRPr="00A4199B">
                            <w:rPr>
                              <w:noProof/>
                              <w:lang w:val="es-CO"/>
                            </w:rPr>
                            <w:drawing>
                              <wp:inline distT="0" distB="0" distL="0" distR="0">
                                <wp:extent cx="3238500" cy="114300"/>
                                <wp:effectExtent l="0" t="0" r="0" b="0"/>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0" cy="114300"/>
                                        </a:xfrm>
                                        <a:prstGeom prst="rect">
                                          <a:avLst/>
                                        </a:prstGeom>
                                        <a:noFill/>
                                        <a:ln>
                                          <a:noFill/>
                                        </a:ln>
                                      </pic:spPr>
                                    </pic:pic>
                                  </a:graphicData>
                                </a:graphic>
                              </wp:inline>
                            </w:drawing>
                          </w:r>
                        </w:p>
                        <w:p w:rsidR="00063D06" w:rsidRDefault="00063D06" w:rsidP="00FA7F48">
                          <w:pPr>
                            <w:pStyle w:val="Body"/>
                            <w:rPr>
                              <w:rFonts w:ascii="Arial" w:hAnsi="Arial" w:cs="Arial"/>
                              <w:b/>
                              <w:color w:val="595959"/>
                              <w:sz w:val="16"/>
                              <w:szCs w:val="16"/>
                              <w:lang w:val="es-ES_tradnl"/>
                            </w:rPr>
                          </w:pPr>
                        </w:p>
                        <w:p w:rsidR="00063D06" w:rsidRPr="00FA7F48" w:rsidRDefault="00063D06" w:rsidP="00FA7F48">
                          <w:pPr>
                            <w:pStyle w:val="Body"/>
                            <w:rPr>
                              <w:rFonts w:ascii="Arial" w:hAnsi="Arial" w:cs="Arial"/>
                              <w:b/>
                              <w:color w:val="595959"/>
                              <w:sz w:val="16"/>
                              <w:szCs w:val="16"/>
                              <w:lang w:val="es-ES_tradnl"/>
                            </w:rPr>
                          </w:pPr>
                          <w:r>
                            <w:rPr>
                              <w:rFonts w:ascii="Arial" w:hAnsi="Arial" w:cs="Arial"/>
                              <w:b/>
                              <w:color w:val="595959"/>
                              <w:sz w:val="16"/>
                              <w:szCs w:val="16"/>
                              <w:lang w:val="es-ES_tradnl"/>
                            </w:rPr>
                            <w:t>Unidad de Información y Análisis Financiero</w:t>
                          </w:r>
                        </w:p>
                        <w:p w:rsidR="00063D06" w:rsidRPr="00FA7F48" w:rsidRDefault="00063D06" w:rsidP="00FA7F48">
                          <w:pPr>
                            <w:pStyle w:val="Body"/>
                            <w:rPr>
                              <w:rFonts w:ascii="Arial" w:hAnsi="Arial" w:cs="Arial"/>
                              <w:color w:val="595959"/>
                              <w:sz w:val="16"/>
                              <w:szCs w:val="16"/>
                              <w:lang w:val="es-ES_tradnl"/>
                            </w:rPr>
                          </w:pPr>
                          <w:r w:rsidRPr="00FA7F48">
                            <w:rPr>
                              <w:rFonts w:ascii="Arial" w:hAnsi="Arial" w:cs="Arial"/>
                              <w:color w:val="595959"/>
                              <w:sz w:val="16"/>
                              <w:szCs w:val="16"/>
                              <w:lang w:val="es-ES_tradnl"/>
                            </w:rPr>
                            <w:t xml:space="preserve">PBX: </w:t>
                          </w:r>
                          <w:r>
                            <w:rPr>
                              <w:rFonts w:ascii="Arial" w:hAnsi="Arial" w:cs="Arial"/>
                              <w:color w:val="595959"/>
                              <w:sz w:val="16"/>
                              <w:szCs w:val="16"/>
                              <w:lang w:val="es-ES_tradnl"/>
                            </w:rPr>
                            <w:t>2885222</w:t>
                          </w:r>
                          <w:r w:rsidRPr="00FA7F48">
                            <w:rPr>
                              <w:rFonts w:ascii="Arial" w:hAnsi="Arial" w:cs="Arial"/>
                              <w:color w:val="595959"/>
                              <w:sz w:val="16"/>
                              <w:szCs w:val="16"/>
                              <w:lang w:val="es-ES_tradnl"/>
                            </w:rPr>
                            <w:t xml:space="preserve"> - Línea Nacional: 01 8000 </w:t>
                          </w:r>
                          <w:r>
                            <w:rPr>
                              <w:rFonts w:ascii="Arial" w:hAnsi="Arial" w:cs="Arial"/>
                              <w:color w:val="595959"/>
                              <w:sz w:val="16"/>
                              <w:szCs w:val="16"/>
                              <w:lang w:val="es-ES_tradnl"/>
                            </w:rPr>
                            <w:t>11 11 83</w:t>
                          </w:r>
                        </w:p>
                        <w:p w:rsidR="00063D06" w:rsidRPr="00FA7F48" w:rsidRDefault="00063D06" w:rsidP="00FA7F48">
                          <w:pPr>
                            <w:pStyle w:val="Body"/>
                            <w:rPr>
                              <w:rFonts w:ascii="Arial" w:hAnsi="Arial" w:cs="Arial"/>
                              <w:color w:val="595959"/>
                              <w:sz w:val="16"/>
                              <w:szCs w:val="16"/>
                              <w:lang w:val="es-ES_tradnl"/>
                            </w:rPr>
                          </w:pPr>
                          <w:r>
                            <w:rPr>
                              <w:rFonts w:ascii="Arial" w:hAnsi="Arial" w:cs="Arial"/>
                              <w:color w:val="595959"/>
                              <w:sz w:val="16"/>
                              <w:szCs w:val="16"/>
                              <w:lang w:val="es-ES_tradnl"/>
                            </w:rPr>
                            <w:t>Atnciudadano</w:t>
                          </w:r>
                          <w:r w:rsidRPr="00FA7F48">
                            <w:rPr>
                              <w:rFonts w:ascii="Arial" w:hAnsi="Arial" w:cs="Arial"/>
                              <w:color w:val="595959"/>
                              <w:sz w:val="16"/>
                              <w:szCs w:val="16"/>
                              <w:lang w:val="es-ES_tradnl"/>
                            </w:rPr>
                            <w:t>@</w:t>
                          </w:r>
                          <w:r>
                            <w:rPr>
                              <w:rFonts w:ascii="Arial" w:hAnsi="Arial" w:cs="Arial"/>
                              <w:color w:val="595959"/>
                              <w:sz w:val="16"/>
                              <w:szCs w:val="16"/>
                              <w:lang w:val="es-ES_tradnl"/>
                            </w:rPr>
                            <w:t>uiaf</w:t>
                          </w:r>
                          <w:r w:rsidRPr="00FA7F48">
                            <w:rPr>
                              <w:rFonts w:ascii="Arial" w:hAnsi="Arial" w:cs="Arial"/>
                              <w:color w:val="595959"/>
                              <w:sz w:val="16"/>
                              <w:szCs w:val="16"/>
                              <w:lang w:val="es-ES_tradnl"/>
                            </w:rPr>
                            <w:t>.gov.co</w:t>
                          </w:r>
                        </w:p>
                        <w:p w:rsidR="00063D06" w:rsidRDefault="00063D06" w:rsidP="00FA7F48">
                          <w:pPr>
                            <w:pStyle w:val="Body"/>
                            <w:rPr>
                              <w:rFonts w:ascii="Arial" w:hAnsi="Arial" w:cs="Arial"/>
                              <w:color w:val="595959"/>
                              <w:sz w:val="16"/>
                              <w:szCs w:val="16"/>
                              <w:lang w:val="es-ES_tradnl"/>
                            </w:rPr>
                          </w:pPr>
                          <w:r>
                            <w:rPr>
                              <w:rFonts w:ascii="Arial" w:hAnsi="Arial" w:cs="Arial"/>
                              <w:color w:val="595959"/>
                              <w:sz w:val="16"/>
                              <w:szCs w:val="16"/>
                              <w:lang w:val="es-ES_tradnl"/>
                            </w:rPr>
                            <w:t>Carrera 7</w:t>
                          </w:r>
                          <w:r w:rsidRPr="00FA7F48">
                            <w:rPr>
                              <w:rFonts w:ascii="Arial" w:hAnsi="Arial" w:cs="Arial"/>
                              <w:color w:val="595959"/>
                              <w:sz w:val="16"/>
                              <w:szCs w:val="16"/>
                              <w:lang w:val="es-ES_tradnl"/>
                            </w:rPr>
                            <w:t xml:space="preserve"> No. </w:t>
                          </w:r>
                          <w:r>
                            <w:rPr>
                              <w:rFonts w:ascii="Arial" w:hAnsi="Arial" w:cs="Arial"/>
                              <w:color w:val="595959"/>
                              <w:sz w:val="16"/>
                              <w:szCs w:val="16"/>
                              <w:lang w:val="es-ES_tradnl"/>
                            </w:rPr>
                            <w:t>31- 10. Piso 6.</w:t>
                          </w:r>
                          <w:r w:rsidRPr="00FA7F48">
                            <w:rPr>
                              <w:rFonts w:ascii="Arial" w:hAnsi="Arial" w:cs="Arial"/>
                              <w:color w:val="595959"/>
                              <w:sz w:val="16"/>
                              <w:szCs w:val="16"/>
                              <w:lang w:val="es-ES_tradnl"/>
                            </w:rPr>
                            <w:t xml:space="preserve"> Bogotá D.C.</w:t>
                          </w:r>
                        </w:p>
                        <w:p w:rsidR="00063D06" w:rsidRPr="00FA7F48" w:rsidRDefault="00063D06" w:rsidP="00FA7F48">
                          <w:pPr>
                            <w:pStyle w:val="Body"/>
                            <w:rPr>
                              <w:rFonts w:ascii="Arial" w:hAnsi="Arial" w:cs="Arial"/>
                              <w:color w:val="595959"/>
                              <w:sz w:val="16"/>
                              <w:szCs w:val="16"/>
                              <w:lang w:val="es-ES_tradnl"/>
                            </w:rPr>
                          </w:pPr>
                          <w:r>
                            <w:rPr>
                              <w:rFonts w:ascii="Arial" w:hAnsi="Arial" w:cs="Arial"/>
                              <w:color w:val="595959"/>
                              <w:sz w:val="16"/>
                              <w:szCs w:val="16"/>
                              <w:lang w:val="es-ES_tradnl"/>
                            </w:rPr>
                            <w:t>www.uiaf.gov.co</w:t>
                          </w:r>
                        </w:p>
                        <w:p w:rsidR="00063D06" w:rsidRPr="00B97AB2" w:rsidRDefault="00063D06" w:rsidP="00FA7F48">
                          <w:pPr>
                            <w:pStyle w:val="Body"/>
                            <w:rPr>
                              <w:rFonts w:ascii="Arial" w:hAnsi="Arial" w:cs="Arial"/>
                              <w:color w:val="595959"/>
                              <w:sz w:val="16"/>
                              <w:szCs w:val="16"/>
                              <w:lang w:val="es-ES_tradn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26" type="#_x0000_t202" style="position:absolute;left:0;text-align:left;margin-left:-9pt;margin-top:-59.9pt;width:270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" filled="f" stroked="f">
              <v:textbox inset=",7.2pt,,7.2pt">
                <w:txbxContent>
                  <w:p w:rsidR="00980ED7" w:rsidRDefault="00980ED7" w:rsidP="00FA7F48">
                    <w:pPr>
                      <w:pStyle w:val="Body"/>
                      <w:rPr>
                        <w:rFonts w:ascii="Arial" w:hAnsi="Arial" w:cs="Arial"/>
                        <w:b/>
                        <w:color w:val="595959"/>
                        <w:sz w:val="16"/>
                        <w:szCs w:val="16"/>
                        <w:lang w:val="es-ES_tradnl"/>
                      </w:rPr>
                    </w:pPr>
                    <w:r w:rsidRPr="00A4199B">
                      <w:rPr>
                        <w:noProof/>
                        <w:lang w:val="es-CO"/>
                      </w:rPr>
                      <w:drawing>
                        <wp:inline distT="0" distB="0" distL="0" distR="0">
                          <wp:extent cx="3238500" cy="114300"/>
                          <wp:effectExtent l="0" t="0" r="0" b="0"/>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0" cy="114300"/>
                                  </a:xfrm>
                                  <a:prstGeom prst="rect">
                                    <a:avLst/>
                                  </a:prstGeom>
                                  <a:noFill/>
                                  <a:ln>
                                    <a:noFill/>
                                  </a:ln>
                                </pic:spPr>
                              </pic:pic>
                            </a:graphicData>
                          </a:graphic>
                        </wp:inline>
                      </w:drawing>
                    </w:r>
                  </w:p>
                  <w:p w:rsidR="00980ED7" w:rsidRDefault="00980ED7" w:rsidP="00FA7F48">
                    <w:pPr>
                      <w:pStyle w:val="Body"/>
                      <w:rPr>
                        <w:rFonts w:ascii="Arial" w:hAnsi="Arial" w:cs="Arial"/>
                        <w:b/>
                        <w:color w:val="595959"/>
                        <w:sz w:val="16"/>
                        <w:szCs w:val="16"/>
                        <w:lang w:val="es-ES_tradnl"/>
                      </w:rPr>
                    </w:pPr>
                  </w:p>
                  <w:p w:rsidR="00980ED7" w:rsidRPr="00FA7F48" w:rsidRDefault="00980ED7" w:rsidP="00FA7F48">
                    <w:pPr>
                      <w:pStyle w:val="Body"/>
                      <w:rPr>
                        <w:rFonts w:ascii="Arial" w:hAnsi="Arial" w:cs="Arial"/>
                        <w:b/>
                        <w:color w:val="595959"/>
                        <w:sz w:val="16"/>
                        <w:szCs w:val="16"/>
                        <w:lang w:val="es-ES_tradnl"/>
                      </w:rPr>
                    </w:pPr>
                    <w:r>
                      <w:rPr>
                        <w:rFonts w:ascii="Arial" w:hAnsi="Arial" w:cs="Arial"/>
                        <w:b/>
                        <w:color w:val="595959"/>
                        <w:sz w:val="16"/>
                        <w:szCs w:val="16"/>
                        <w:lang w:val="es-ES_tradnl"/>
                      </w:rPr>
                      <w:t>Unidad de Información y Análisis Financiero</w:t>
                    </w:r>
                  </w:p>
                  <w:p w:rsidR="00980ED7" w:rsidRPr="00FA7F48" w:rsidRDefault="00980ED7" w:rsidP="00FA7F48">
                    <w:pPr>
                      <w:pStyle w:val="Body"/>
                      <w:rPr>
                        <w:rFonts w:ascii="Arial" w:hAnsi="Arial" w:cs="Arial"/>
                        <w:color w:val="595959"/>
                        <w:sz w:val="16"/>
                        <w:szCs w:val="16"/>
                        <w:lang w:val="es-ES_tradnl"/>
                      </w:rPr>
                    </w:pPr>
                    <w:r w:rsidRPr="00FA7F48">
                      <w:rPr>
                        <w:rFonts w:ascii="Arial" w:hAnsi="Arial" w:cs="Arial"/>
                        <w:color w:val="595959"/>
                        <w:sz w:val="16"/>
                        <w:szCs w:val="16"/>
                        <w:lang w:val="es-ES_tradnl"/>
                      </w:rPr>
                      <w:t xml:space="preserve">PBX: </w:t>
                    </w:r>
                    <w:r>
                      <w:rPr>
                        <w:rFonts w:ascii="Arial" w:hAnsi="Arial" w:cs="Arial"/>
                        <w:color w:val="595959"/>
                        <w:sz w:val="16"/>
                        <w:szCs w:val="16"/>
                        <w:lang w:val="es-ES_tradnl"/>
                      </w:rPr>
                      <w:t>2885222</w:t>
                    </w:r>
                    <w:r w:rsidRPr="00FA7F48">
                      <w:rPr>
                        <w:rFonts w:ascii="Arial" w:hAnsi="Arial" w:cs="Arial"/>
                        <w:color w:val="595959"/>
                        <w:sz w:val="16"/>
                        <w:szCs w:val="16"/>
                        <w:lang w:val="es-ES_tradnl"/>
                      </w:rPr>
                      <w:t xml:space="preserve"> - Línea Nacional: 01 8000 </w:t>
                    </w:r>
                    <w:r>
                      <w:rPr>
                        <w:rFonts w:ascii="Arial" w:hAnsi="Arial" w:cs="Arial"/>
                        <w:color w:val="595959"/>
                        <w:sz w:val="16"/>
                        <w:szCs w:val="16"/>
                        <w:lang w:val="es-ES_tradnl"/>
                      </w:rPr>
                      <w:t>11 11 83</w:t>
                    </w:r>
                  </w:p>
                  <w:p w:rsidR="00980ED7" w:rsidRPr="00FA7F48" w:rsidRDefault="00980ED7" w:rsidP="00FA7F48">
                    <w:pPr>
                      <w:pStyle w:val="Body"/>
                      <w:rPr>
                        <w:rFonts w:ascii="Arial" w:hAnsi="Arial" w:cs="Arial"/>
                        <w:color w:val="595959"/>
                        <w:sz w:val="16"/>
                        <w:szCs w:val="16"/>
                        <w:lang w:val="es-ES_tradnl"/>
                      </w:rPr>
                    </w:pPr>
                    <w:r>
                      <w:rPr>
                        <w:rFonts w:ascii="Arial" w:hAnsi="Arial" w:cs="Arial"/>
                        <w:color w:val="595959"/>
                        <w:sz w:val="16"/>
                        <w:szCs w:val="16"/>
                        <w:lang w:val="es-ES_tradnl"/>
                      </w:rPr>
                      <w:t>Atnciudadano</w:t>
                    </w:r>
                    <w:r w:rsidRPr="00FA7F48">
                      <w:rPr>
                        <w:rFonts w:ascii="Arial" w:hAnsi="Arial" w:cs="Arial"/>
                        <w:color w:val="595959"/>
                        <w:sz w:val="16"/>
                        <w:szCs w:val="16"/>
                        <w:lang w:val="es-ES_tradnl"/>
                      </w:rPr>
                      <w:t>@</w:t>
                    </w:r>
                    <w:r>
                      <w:rPr>
                        <w:rFonts w:ascii="Arial" w:hAnsi="Arial" w:cs="Arial"/>
                        <w:color w:val="595959"/>
                        <w:sz w:val="16"/>
                        <w:szCs w:val="16"/>
                        <w:lang w:val="es-ES_tradnl"/>
                      </w:rPr>
                      <w:t>uiaf</w:t>
                    </w:r>
                    <w:r w:rsidRPr="00FA7F48">
                      <w:rPr>
                        <w:rFonts w:ascii="Arial" w:hAnsi="Arial" w:cs="Arial"/>
                        <w:color w:val="595959"/>
                        <w:sz w:val="16"/>
                        <w:szCs w:val="16"/>
                        <w:lang w:val="es-ES_tradnl"/>
                      </w:rPr>
                      <w:t>.gov.co</w:t>
                    </w:r>
                  </w:p>
                  <w:p w:rsidR="00980ED7" w:rsidRDefault="00980ED7" w:rsidP="00FA7F48">
                    <w:pPr>
                      <w:pStyle w:val="Body"/>
                      <w:rPr>
                        <w:rFonts w:ascii="Arial" w:hAnsi="Arial" w:cs="Arial"/>
                        <w:color w:val="595959"/>
                        <w:sz w:val="16"/>
                        <w:szCs w:val="16"/>
                        <w:lang w:val="es-ES_tradnl"/>
                      </w:rPr>
                    </w:pPr>
                    <w:r>
                      <w:rPr>
                        <w:rFonts w:ascii="Arial" w:hAnsi="Arial" w:cs="Arial"/>
                        <w:color w:val="595959"/>
                        <w:sz w:val="16"/>
                        <w:szCs w:val="16"/>
                        <w:lang w:val="es-ES_tradnl"/>
                      </w:rPr>
                      <w:t>Carrera 7</w:t>
                    </w:r>
                    <w:r w:rsidRPr="00FA7F48">
                      <w:rPr>
                        <w:rFonts w:ascii="Arial" w:hAnsi="Arial" w:cs="Arial"/>
                        <w:color w:val="595959"/>
                        <w:sz w:val="16"/>
                        <w:szCs w:val="16"/>
                        <w:lang w:val="es-ES_tradnl"/>
                      </w:rPr>
                      <w:t xml:space="preserve"> No. </w:t>
                    </w:r>
                    <w:r>
                      <w:rPr>
                        <w:rFonts w:ascii="Arial" w:hAnsi="Arial" w:cs="Arial"/>
                        <w:color w:val="595959"/>
                        <w:sz w:val="16"/>
                        <w:szCs w:val="16"/>
                        <w:lang w:val="es-ES_tradnl"/>
                      </w:rPr>
                      <w:t>31- 10. Piso 6.</w:t>
                    </w:r>
                    <w:r w:rsidRPr="00FA7F48">
                      <w:rPr>
                        <w:rFonts w:ascii="Arial" w:hAnsi="Arial" w:cs="Arial"/>
                        <w:color w:val="595959"/>
                        <w:sz w:val="16"/>
                        <w:szCs w:val="16"/>
                        <w:lang w:val="es-ES_tradnl"/>
                      </w:rPr>
                      <w:t xml:space="preserve"> Bogotá D.C.</w:t>
                    </w:r>
                  </w:p>
                  <w:p w:rsidR="00980ED7" w:rsidRPr="00FA7F48" w:rsidRDefault="00980ED7" w:rsidP="00FA7F48">
                    <w:pPr>
                      <w:pStyle w:val="Body"/>
                      <w:rPr>
                        <w:rFonts w:ascii="Arial" w:hAnsi="Arial" w:cs="Arial"/>
                        <w:color w:val="595959"/>
                        <w:sz w:val="16"/>
                        <w:szCs w:val="16"/>
                        <w:lang w:val="es-ES_tradnl"/>
                      </w:rPr>
                    </w:pPr>
                    <w:r>
                      <w:rPr>
                        <w:rFonts w:ascii="Arial" w:hAnsi="Arial" w:cs="Arial"/>
                        <w:color w:val="595959"/>
                        <w:sz w:val="16"/>
                        <w:szCs w:val="16"/>
                        <w:lang w:val="es-ES_tradnl"/>
                      </w:rPr>
                      <w:t>www.uiaf.gov.co</w:t>
                    </w:r>
                  </w:p>
                  <w:p w:rsidR="00980ED7" w:rsidRPr="00B97AB2" w:rsidRDefault="00980ED7" w:rsidP="00FA7F48">
                    <w:pPr>
                      <w:pStyle w:val="Body"/>
                      <w:rPr>
                        <w:rFonts w:ascii="Arial" w:hAnsi="Arial" w:cs="Arial"/>
                        <w:color w:val="595959"/>
                        <w:sz w:val="16"/>
                        <w:szCs w:val="16"/>
                        <w:lang w:val="es-ES_tradnl"/>
                      </w:rPr>
                    </w:pPr>
                  </w:p>
                </w:txbxContent>
              </v:textbox>
            </v:shape>
          </w:pict>
        </mc:Fallback>
      </mc:AlternateContent>
    </w:r>
  </w:p>
  <w:p w:rsidR="00063D06" w:rsidRPr="00DF7713" w:rsidRDefault="00063D06" w:rsidP="002007AA">
    <w:pPr>
      <w:pStyle w:val="Body"/>
      <w:jc w:val="center"/>
      <w:rPr>
        <w:rFonts w:ascii="Arial Narrow" w:hAnsi="Arial Narrow"/>
        <w:b/>
        <w:color w:val="595959"/>
        <w:sz w:val="18"/>
        <w:szCs w:val="18"/>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D06" w:rsidRDefault="00063D06">
      <w:r>
        <w:separator/>
      </w:r>
    </w:p>
  </w:footnote>
  <w:footnote w:type="continuationSeparator" w:id="0">
    <w:p w:rsidR="00063D06" w:rsidRDefault="00063D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06" w:rsidRDefault="00063D06">
    <w:pPr>
      <w:pStyle w:val="Encabezado"/>
    </w:pPr>
    <w:r>
      <w:rPr>
        <w:noProof/>
        <w:lang w:val="es-CO" w:eastAsia="es-CO"/>
      </w:rPr>
      <w:drawing>
        <wp:anchor distT="0" distB="0" distL="114300" distR="114300" simplePos="0" relativeHeight="251657728" behindDoc="1" locked="0" layoutInCell="1" allowOverlap="1">
          <wp:simplePos x="0" y="0"/>
          <wp:positionH relativeFrom="column">
            <wp:posOffset>-772160</wp:posOffset>
          </wp:positionH>
          <wp:positionV relativeFrom="paragraph">
            <wp:posOffset>339090</wp:posOffset>
          </wp:positionV>
          <wp:extent cx="3181985" cy="49720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81985" cy="497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752" behindDoc="0" locked="0" layoutInCell="1" allowOverlap="1">
          <wp:simplePos x="0" y="0"/>
          <wp:positionH relativeFrom="column">
            <wp:posOffset>4752975</wp:posOffset>
          </wp:positionH>
          <wp:positionV relativeFrom="paragraph">
            <wp:posOffset>126365</wp:posOffset>
          </wp:positionV>
          <wp:extent cx="896620" cy="896620"/>
          <wp:effectExtent l="0" t="0" r="0" b="0"/>
          <wp:wrapSquare wrapText="bothSides"/>
          <wp:docPr id="8" name="Imagen 8" descr="logo UIAF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IAF 20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966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9F620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E3A6C"/>
    <w:multiLevelType w:val="hybridMultilevel"/>
    <w:tmpl w:val="EBBC37A6"/>
    <w:lvl w:ilvl="0" w:tplc="64323ECE">
      <w:start w:val="1"/>
      <w:numFmt w:val="upperLetter"/>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C254C75E">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A2EE322">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2C84852">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6BA7A0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40DEFEA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65C808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2F8DA24">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BD4BD8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B074DE"/>
    <w:multiLevelType w:val="hybridMultilevel"/>
    <w:tmpl w:val="5666F4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93186F"/>
    <w:multiLevelType w:val="hybridMultilevel"/>
    <w:tmpl w:val="1D802E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997FA8"/>
    <w:multiLevelType w:val="multilevel"/>
    <w:tmpl w:val="2132C648"/>
    <w:styleLink w:val="Estilo3"/>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01045D"/>
    <w:multiLevelType w:val="hybridMultilevel"/>
    <w:tmpl w:val="1D0A70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Arial"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Arial"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09C90FE0"/>
    <w:multiLevelType w:val="hybridMultilevel"/>
    <w:tmpl w:val="7786DAA2"/>
    <w:lvl w:ilvl="0" w:tplc="C254C75E">
      <w:start w:val="1"/>
      <w:numFmt w:val="lowerLetter"/>
      <w:lvlText w:val="%1."/>
      <w:lvlJc w:val="left"/>
      <w:pPr>
        <w:ind w:left="360" w:hanging="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0A882EE6"/>
    <w:multiLevelType w:val="multilevel"/>
    <w:tmpl w:val="240A001D"/>
    <w:styleLink w:val="Estilo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F322AC9"/>
    <w:multiLevelType w:val="multilevel"/>
    <w:tmpl w:val="72520D72"/>
    <w:lvl w:ilvl="0">
      <w:start w:val="2"/>
      <w:numFmt w:val="decimal"/>
      <w:lvlText w:val="%1."/>
      <w:lvlJc w:val="left"/>
      <w:pPr>
        <w:ind w:left="360" w:hanging="360"/>
      </w:pPr>
      <w:rPr>
        <w:rFonts w:hint="default"/>
      </w:rPr>
    </w:lvl>
    <w:lvl w:ilvl="1">
      <w:start w:val="1"/>
      <w:numFmt w:val="decimal"/>
      <w:lvlText w:val="%1.%2."/>
      <w:lvlJc w:val="left"/>
      <w:pPr>
        <w:ind w:left="1062" w:hanging="360"/>
      </w:pPr>
      <w:rPr>
        <w:rFonts w:hint="default"/>
        <w:b/>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292" w:hanging="108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056" w:hanging="1440"/>
      </w:pPr>
      <w:rPr>
        <w:rFonts w:hint="default"/>
      </w:rPr>
    </w:lvl>
  </w:abstractNum>
  <w:abstractNum w:abstractNumId="9" w15:restartNumberingAfterBreak="0">
    <w:nsid w:val="11AE7ED9"/>
    <w:multiLevelType w:val="hybridMultilevel"/>
    <w:tmpl w:val="7E3C3472"/>
    <w:lvl w:ilvl="0" w:tplc="14BCD0D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216D35"/>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8D13E0C"/>
    <w:multiLevelType w:val="hybridMultilevel"/>
    <w:tmpl w:val="09961B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ADA4918"/>
    <w:multiLevelType w:val="multilevel"/>
    <w:tmpl w:val="1B0A9AE6"/>
    <w:numStyleLink w:val="Estilo1"/>
  </w:abstractNum>
  <w:abstractNum w:abstractNumId="13" w15:restartNumberingAfterBreak="0">
    <w:nsid w:val="1CB627BF"/>
    <w:multiLevelType w:val="hybridMultilevel"/>
    <w:tmpl w:val="E79018C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F675EA7"/>
    <w:multiLevelType w:val="hybridMultilevel"/>
    <w:tmpl w:val="54B041D0"/>
    <w:lvl w:ilvl="0" w:tplc="6DF8210C">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20D82656"/>
    <w:multiLevelType w:val="hybridMultilevel"/>
    <w:tmpl w:val="EB1412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3EB14B8"/>
    <w:multiLevelType w:val="hybridMultilevel"/>
    <w:tmpl w:val="FB7A3D60"/>
    <w:lvl w:ilvl="0" w:tplc="6DF8210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811605D"/>
    <w:multiLevelType w:val="hybridMultilevel"/>
    <w:tmpl w:val="417A7314"/>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AFF23DA"/>
    <w:multiLevelType w:val="hybridMultilevel"/>
    <w:tmpl w:val="17509B46"/>
    <w:lvl w:ilvl="0" w:tplc="361C4FF8">
      <w:start w:val="1"/>
      <w:numFmt w:val="bullet"/>
      <w:lvlText w:val=""/>
      <w:lvlJc w:val="left"/>
      <w:pPr>
        <w:ind w:left="360" w:hanging="360"/>
      </w:pPr>
      <w:rPr>
        <w:rFonts w:ascii="Symbol" w:hAnsi="Symbol" w:hint="default"/>
      </w:rPr>
    </w:lvl>
    <w:lvl w:ilvl="1" w:tplc="240A0003">
      <w:start w:val="1"/>
      <w:numFmt w:val="bullet"/>
      <w:lvlText w:val="o"/>
      <w:lvlJc w:val="left"/>
      <w:pPr>
        <w:ind w:left="720" w:hanging="360"/>
      </w:pPr>
      <w:rPr>
        <w:rFonts w:ascii="Courier New" w:hAnsi="Courier New" w:cs="Arial"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Arial"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Arial" w:hint="default"/>
      </w:rPr>
    </w:lvl>
    <w:lvl w:ilvl="8" w:tplc="240A0005" w:tentative="1">
      <w:start w:val="1"/>
      <w:numFmt w:val="bullet"/>
      <w:lvlText w:val=""/>
      <w:lvlJc w:val="left"/>
      <w:pPr>
        <w:ind w:left="5760" w:hanging="360"/>
      </w:pPr>
      <w:rPr>
        <w:rFonts w:ascii="Wingdings" w:hAnsi="Wingdings" w:hint="default"/>
      </w:rPr>
    </w:lvl>
  </w:abstractNum>
  <w:abstractNum w:abstractNumId="19" w15:restartNumberingAfterBreak="0">
    <w:nsid w:val="31110507"/>
    <w:multiLevelType w:val="hybridMultilevel"/>
    <w:tmpl w:val="DED6707C"/>
    <w:lvl w:ilvl="0" w:tplc="240A0001">
      <w:start w:val="3"/>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4223762"/>
    <w:multiLevelType w:val="hybridMultilevel"/>
    <w:tmpl w:val="BC16279A"/>
    <w:lvl w:ilvl="0" w:tplc="C0923BAE">
      <w:start w:val="1"/>
      <w:numFmt w:val="lowerLetter"/>
      <w:lvlText w:val="%1."/>
      <w:lvlJc w:val="left"/>
      <w:pPr>
        <w:ind w:left="23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7567DB2">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B30098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B7000CE">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7306D94">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140D55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5FA6010">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A90629E">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438F03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4DA458F"/>
    <w:multiLevelType w:val="hybridMultilevel"/>
    <w:tmpl w:val="6024E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6186708"/>
    <w:multiLevelType w:val="multilevel"/>
    <w:tmpl w:val="9158598C"/>
    <w:lvl w:ilvl="0">
      <w:start w:val="1"/>
      <w:numFmt w:val="decimal"/>
      <w:lvlText w:val="%1."/>
      <w:lvlJc w:val="left"/>
      <w:pPr>
        <w:ind w:left="360" w:hanging="360"/>
      </w:pPr>
      <w:rPr>
        <w:rFonts w:hint="default"/>
      </w:rPr>
    </w:lvl>
    <w:lvl w:ilvl="1">
      <w:start w:val="1"/>
      <w:numFmt w:val="decimal"/>
      <w:lvlText w:val="%1.%2."/>
      <w:lvlJc w:val="left"/>
      <w:pPr>
        <w:ind w:left="1062" w:hanging="360"/>
      </w:pPr>
      <w:rPr>
        <w:rFonts w:hint="default"/>
        <w:b/>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292" w:hanging="108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056" w:hanging="1440"/>
      </w:pPr>
      <w:rPr>
        <w:rFonts w:hint="default"/>
      </w:rPr>
    </w:lvl>
  </w:abstractNum>
  <w:abstractNum w:abstractNumId="23" w15:restartNumberingAfterBreak="0">
    <w:nsid w:val="3A0E69D8"/>
    <w:multiLevelType w:val="multilevel"/>
    <w:tmpl w:val="0098FF52"/>
    <w:lvl w:ilvl="0">
      <w:start w:val="5"/>
      <w:numFmt w:val="decimal"/>
      <w:lvlText w:val="%1."/>
      <w:lvlJc w:val="left"/>
      <w:pPr>
        <w:ind w:left="360" w:hanging="360"/>
      </w:pPr>
      <w:rPr>
        <w:rFonts w:hint="default"/>
      </w:rPr>
    </w:lvl>
    <w:lvl w:ilvl="1">
      <w:start w:val="1"/>
      <w:numFmt w:val="decimal"/>
      <w:lvlText w:val="%1.%2."/>
      <w:lvlJc w:val="left"/>
      <w:pPr>
        <w:ind w:left="1062" w:hanging="360"/>
      </w:pPr>
      <w:rPr>
        <w:rFonts w:hint="default"/>
        <w:b/>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292" w:hanging="108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056" w:hanging="1440"/>
      </w:pPr>
      <w:rPr>
        <w:rFonts w:hint="default"/>
      </w:rPr>
    </w:lvl>
  </w:abstractNum>
  <w:abstractNum w:abstractNumId="24" w15:restartNumberingAfterBreak="0">
    <w:nsid w:val="3E127EBC"/>
    <w:multiLevelType w:val="hybridMultilevel"/>
    <w:tmpl w:val="96F6DA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2225A51"/>
    <w:multiLevelType w:val="hybridMultilevel"/>
    <w:tmpl w:val="55BED2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3F10B1"/>
    <w:multiLevelType w:val="hybridMultilevel"/>
    <w:tmpl w:val="915A8CCA"/>
    <w:lvl w:ilvl="0" w:tplc="240A0001">
      <w:start w:val="2"/>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392060A"/>
    <w:multiLevelType w:val="hybridMultilevel"/>
    <w:tmpl w:val="CF4E57C6"/>
    <w:lvl w:ilvl="0" w:tplc="C1AA0E3E">
      <w:start w:val="1"/>
      <w:numFmt w:val="upperLetter"/>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B52AA7B2">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F0EAE9F6">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08D66564">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4A96E4B4">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57C47D80">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0290C684">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4A4EF62C">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A68A92A2">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B746AFF"/>
    <w:multiLevelType w:val="multilevel"/>
    <w:tmpl w:val="6D142F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18402E8"/>
    <w:multiLevelType w:val="hybridMultilevel"/>
    <w:tmpl w:val="F3EC6B00"/>
    <w:lvl w:ilvl="0" w:tplc="240A000F">
      <w:start w:val="1"/>
      <w:numFmt w:val="decimal"/>
      <w:lvlText w:val="%1."/>
      <w:lvlJc w:val="left"/>
      <w:pPr>
        <w:ind w:left="370" w:hanging="360"/>
      </w:pPr>
      <w:rPr>
        <w:rFonts w:hint="default"/>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30" w15:restartNumberingAfterBreak="0">
    <w:nsid w:val="5249747F"/>
    <w:multiLevelType w:val="hybridMultilevel"/>
    <w:tmpl w:val="194851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56F30316"/>
    <w:multiLevelType w:val="multilevel"/>
    <w:tmpl w:val="1B0A9AE6"/>
    <w:styleLink w:val="Estilo1"/>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58906010"/>
    <w:multiLevelType w:val="hybridMultilevel"/>
    <w:tmpl w:val="2DB014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5A2F0ACE"/>
    <w:multiLevelType w:val="hybridMultilevel"/>
    <w:tmpl w:val="8598B1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5A512B82"/>
    <w:multiLevelType w:val="hybridMultilevel"/>
    <w:tmpl w:val="B2D66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240E20"/>
    <w:multiLevelType w:val="hybridMultilevel"/>
    <w:tmpl w:val="1C8228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5E180DE6"/>
    <w:multiLevelType w:val="hybridMultilevel"/>
    <w:tmpl w:val="E0E2D7C6"/>
    <w:lvl w:ilvl="0" w:tplc="78B4EF70">
      <w:start w:val="1"/>
      <w:numFmt w:val="decimal"/>
      <w:lvlText w:val="%1"/>
      <w:lvlJc w:val="left"/>
      <w:pPr>
        <w:ind w:left="10"/>
      </w:pPr>
      <w:rPr>
        <w:rFonts w:ascii="Cambria" w:eastAsia="Cambria" w:hAnsi="Cambria" w:cs="Cambria"/>
        <w:b w:val="0"/>
        <w:i w:val="0"/>
        <w:strike w:val="0"/>
        <w:dstrike w:val="0"/>
        <w:color w:val="444444"/>
        <w:sz w:val="24"/>
        <w:szCs w:val="24"/>
        <w:u w:val="none" w:color="000000"/>
        <w:bdr w:val="none" w:sz="0" w:space="0" w:color="auto"/>
        <w:shd w:val="clear" w:color="auto" w:fill="auto"/>
        <w:vertAlign w:val="baseline"/>
      </w:rPr>
    </w:lvl>
    <w:lvl w:ilvl="1" w:tplc="2E82B50A">
      <w:start w:val="1"/>
      <w:numFmt w:val="decimal"/>
      <w:lvlText w:val="%2."/>
      <w:lvlJc w:val="left"/>
      <w:pPr>
        <w:ind w:left="708"/>
      </w:pPr>
      <w:rPr>
        <w:rFonts w:ascii="Cambria" w:eastAsia="Cambria" w:hAnsi="Cambria" w:cs="Cambria"/>
        <w:b w:val="0"/>
        <w:i w:val="0"/>
        <w:strike w:val="0"/>
        <w:dstrike w:val="0"/>
        <w:color w:val="444444"/>
        <w:sz w:val="24"/>
        <w:szCs w:val="24"/>
        <w:u w:val="none" w:color="000000"/>
        <w:bdr w:val="none" w:sz="0" w:space="0" w:color="auto"/>
        <w:shd w:val="clear" w:color="auto" w:fill="auto"/>
        <w:vertAlign w:val="baseline"/>
      </w:rPr>
    </w:lvl>
    <w:lvl w:ilvl="2" w:tplc="BA12F71E">
      <w:start w:val="1"/>
      <w:numFmt w:val="lowerRoman"/>
      <w:lvlText w:val="%3"/>
      <w:lvlJc w:val="left"/>
      <w:pPr>
        <w:ind w:left="1440"/>
      </w:pPr>
      <w:rPr>
        <w:rFonts w:ascii="Cambria" w:eastAsia="Cambria" w:hAnsi="Cambria" w:cs="Cambria"/>
        <w:b w:val="0"/>
        <w:i w:val="0"/>
        <w:strike w:val="0"/>
        <w:dstrike w:val="0"/>
        <w:color w:val="444444"/>
        <w:sz w:val="24"/>
        <w:szCs w:val="24"/>
        <w:u w:val="none" w:color="000000"/>
        <w:bdr w:val="none" w:sz="0" w:space="0" w:color="auto"/>
        <w:shd w:val="clear" w:color="auto" w:fill="auto"/>
        <w:vertAlign w:val="baseline"/>
      </w:rPr>
    </w:lvl>
    <w:lvl w:ilvl="3" w:tplc="C328685C">
      <w:start w:val="1"/>
      <w:numFmt w:val="decimal"/>
      <w:lvlText w:val="%4"/>
      <w:lvlJc w:val="left"/>
      <w:pPr>
        <w:ind w:left="2160"/>
      </w:pPr>
      <w:rPr>
        <w:rFonts w:ascii="Cambria" w:eastAsia="Cambria" w:hAnsi="Cambria" w:cs="Cambria"/>
        <w:b w:val="0"/>
        <w:i w:val="0"/>
        <w:strike w:val="0"/>
        <w:dstrike w:val="0"/>
        <w:color w:val="444444"/>
        <w:sz w:val="24"/>
        <w:szCs w:val="24"/>
        <w:u w:val="none" w:color="000000"/>
        <w:bdr w:val="none" w:sz="0" w:space="0" w:color="auto"/>
        <w:shd w:val="clear" w:color="auto" w:fill="auto"/>
        <w:vertAlign w:val="baseline"/>
      </w:rPr>
    </w:lvl>
    <w:lvl w:ilvl="4" w:tplc="3384C5E2">
      <w:start w:val="1"/>
      <w:numFmt w:val="lowerLetter"/>
      <w:lvlText w:val="%5"/>
      <w:lvlJc w:val="left"/>
      <w:pPr>
        <w:ind w:left="2880"/>
      </w:pPr>
      <w:rPr>
        <w:rFonts w:ascii="Cambria" w:eastAsia="Cambria" w:hAnsi="Cambria" w:cs="Cambria"/>
        <w:b w:val="0"/>
        <w:i w:val="0"/>
        <w:strike w:val="0"/>
        <w:dstrike w:val="0"/>
        <w:color w:val="444444"/>
        <w:sz w:val="24"/>
        <w:szCs w:val="24"/>
        <w:u w:val="none" w:color="000000"/>
        <w:bdr w:val="none" w:sz="0" w:space="0" w:color="auto"/>
        <w:shd w:val="clear" w:color="auto" w:fill="auto"/>
        <w:vertAlign w:val="baseline"/>
      </w:rPr>
    </w:lvl>
    <w:lvl w:ilvl="5" w:tplc="E61E96E0">
      <w:start w:val="1"/>
      <w:numFmt w:val="lowerRoman"/>
      <w:lvlText w:val="%6"/>
      <w:lvlJc w:val="left"/>
      <w:pPr>
        <w:ind w:left="3600"/>
      </w:pPr>
      <w:rPr>
        <w:rFonts w:ascii="Cambria" w:eastAsia="Cambria" w:hAnsi="Cambria" w:cs="Cambria"/>
        <w:b w:val="0"/>
        <w:i w:val="0"/>
        <w:strike w:val="0"/>
        <w:dstrike w:val="0"/>
        <w:color w:val="444444"/>
        <w:sz w:val="24"/>
        <w:szCs w:val="24"/>
        <w:u w:val="none" w:color="000000"/>
        <w:bdr w:val="none" w:sz="0" w:space="0" w:color="auto"/>
        <w:shd w:val="clear" w:color="auto" w:fill="auto"/>
        <w:vertAlign w:val="baseline"/>
      </w:rPr>
    </w:lvl>
    <w:lvl w:ilvl="6" w:tplc="A9A81A82">
      <w:start w:val="1"/>
      <w:numFmt w:val="decimal"/>
      <w:lvlText w:val="%7"/>
      <w:lvlJc w:val="left"/>
      <w:pPr>
        <w:ind w:left="4320"/>
      </w:pPr>
      <w:rPr>
        <w:rFonts w:ascii="Cambria" w:eastAsia="Cambria" w:hAnsi="Cambria" w:cs="Cambria"/>
        <w:b w:val="0"/>
        <w:i w:val="0"/>
        <w:strike w:val="0"/>
        <w:dstrike w:val="0"/>
        <w:color w:val="444444"/>
        <w:sz w:val="24"/>
        <w:szCs w:val="24"/>
        <w:u w:val="none" w:color="000000"/>
        <w:bdr w:val="none" w:sz="0" w:space="0" w:color="auto"/>
        <w:shd w:val="clear" w:color="auto" w:fill="auto"/>
        <w:vertAlign w:val="baseline"/>
      </w:rPr>
    </w:lvl>
    <w:lvl w:ilvl="7" w:tplc="62605394">
      <w:start w:val="1"/>
      <w:numFmt w:val="lowerLetter"/>
      <w:lvlText w:val="%8"/>
      <w:lvlJc w:val="left"/>
      <w:pPr>
        <w:ind w:left="5040"/>
      </w:pPr>
      <w:rPr>
        <w:rFonts w:ascii="Cambria" w:eastAsia="Cambria" w:hAnsi="Cambria" w:cs="Cambria"/>
        <w:b w:val="0"/>
        <w:i w:val="0"/>
        <w:strike w:val="0"/>
        <w:dstrike w:val="0"/>
        <w:color w:val="444444"/>
        <w:sz w:val="24"/>
        <w:szCs w:val="24"/>
        <w:u w:val="none" w:color="000000"/>
        <w:bdr w:val="none" w:sz="0" w:space="0" w:color="auto"/>
        <w:shd w:val="clear" w:color="auto" w:fill="auto"/>
        <w:vertAlign w:val="baseline"/>
      </w:rPr>
    </w:lvl>
    <w:lvl w:ilvl="8" w:tplc="A580BA1C">
      <w:start w:val="1"/>
      <w:numFmt w:val="lowerRoman"/>
      <w:lvlText w:val="%9"/>
      <w:lvlJc w:val="left"/>
      <w:pPr>
        <w:ind w:left="5760"/>
      </w:pPr>
      <w:rPr>
        <w:rFonts w:ascii="Cambria" w:eastAsia="Cambria" w:hAnsi="Cambria" w:cs="Cambria"/>
        <w:b w:val="0"/>
        <w:i w:val="0"/>
        <w:strike w:val="0"/>
        <w:dstrike w:val="0"/>
        <w:color w:val="444444"/>
        <w:sz w:val="24"/>
        <w:szCs w:val="24"/>
        <w:u w:val="none" w:color="000000"/>
        <w:bdr w:val="none" w:sz="0" w:space="0" w:color="auto"/>
        <w:shd w:val="clear" w:color="auto" w:fill="auto"/>
        <w:vertAlign w:val="baseline"/>
      </w:rPr>
    </w:lvl>
  </w:abstractNum>
  <w:abstractNum w:abstractNumId="37" w15:restartNumberingAfterBreak="0">
    <w:nsid w:val="66D42C14"/>
    <w:multiLevelType w:val="hybridMultilevel"/>
    <w:tmpl w:val="96F843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A8119D3"/>
    <w:multiLevelType w:val="hybridMultilevel"/>
    <w:tmpl w:val="DE7496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BCB0F7C"/>
    <w:multiLevelType w:val="hybridMultilevel"/>
    <w:tmpl w:val="D16CA7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E7F4986"/>
    <w:multiLevelType w:val="hybridMultilevel"/>
    <w:tmpl w:val="7E3EA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3D573F8"/>
    <w:multiLevelType w:val="multilevel"/>
    <w:tmpl w:val="240A001D"/>
    <w:numStyleLink w:val="Estilo2"/>
  </w:abstractNum>
  <w:abstractNum w:abstractNumId="42" w15:restartNumberingAfterBreak="0">
    <w:nsid w:val="74826AAB"/>
    <w:multiLevelType w:val="hybridMultilevel"/>
    <w:tmpl w:val="C69CE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8CD11E8"/>
    <w:multiLevelType w:val="hybridMultilevel"/>
    <w:tmpl w:val="54FE04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B791891"/>
    <w:multiLevelType w:val="hybridMultilevel"/>
    <w:tmpl w:val="97BE0326"/>
    <w:lvl w:ilvl="0" w:tplc="D042F64E">
      <w:start w:val="4"/>
      <w:numFmt w:val="bullet"/>
      <w:lvlText w:val="-"/>
      <w:lvlJc w:val="left"/>
      <w:pPr>
        <w:ind w:left="720" w:hanging="360"/>
      </w:pPr>
      <w:rPr>
        <w:rFonts w:ascii="Arial" w:eastAsia="Calibri" w:hAnsi="Arial" w:cs="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424B31"/>
    <w:multiLevelType w:val="hybridMultilevel"/>
    <w:tmpl w:val="62A4943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D7C4403"/>
    <w:multiLevelType w:val="hybridMultilevel"/>
    <w:tmpl w:val="F198102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4"/>
  </w:num>
  <w:num w:numId="2">
    <w:abstractNumId w:val="18"/>
  </w:num>
  <w:num w:numId="3">
    <w:abstractNumId w:val="44"/>
  </w:num>
  <w:num w:numId="4">
    <w:abstractNumId w:val="21"/>
  </w:num>
  <w:num w:numId="5">
    <w:abstractNumId w:val="25"/>
  </w:num>
  <w:num w:numId="6">
    <w:abstractNumId w:val="40"/>
  </w:num>
  <w:num w:numId="7">
    <w:abstractNumId w:val="42"/>
  </w:num>
  <w:num w:numId="8">
    <w:abstractNumId w:val="5"/>
  </w:num>
  <w:num w:numId="9">
    <w:abstractNumId w:val="24"/>
  </w:num>
  <w:num w:numId="10">
    <w:abstractNumId w:val="26"/>
  </w:num>
  <w:num w:numId="11">
    <w:abstractNumId w:val="19"/>
  </w:num>
  <w:num w:numId="12">
    <w:abstractNumId w:val="0"/>
  </w:num>
  <w:num w:numId="13">
    <w:abstractNumId w:val="2"/>
  </w:num>
  <w:num w:numId="14">
    <w:abstractNumId w:val="1"/>
  </w:num>
  <w:num w:numId="15">
    <w:abstractNumId w:val="27"/>
  </w:num>
  <w:num w:numId="16">
    <w:abstractNumId w:val="36"/>
  </w:num>
  <w:num w:numId="17">
    <w:abstractNumId w:val="20"/>
  </w:num>
  <w:num w:numId="18">
    <w:abstractNumId w:val="29"/>
  </w:num>
  <w:num w:numId="19">
    <w:abstractNumId w:val="22"/>
  </w:num>
  <w:num w:numId="20">
    <w:abstractNumId w:val="8"/>
  </w:num>
  <w:num w:numId="21">
    <w:abstractNumId w:val="12"/>
  </w:num>
  <w:num w:numId="22">
    <w:abstractNumId w:val="31"/>
  </w:num>
  <w:num w:numId="23">
    <w:abstractNumId w:val="17"/>
  </w:num>
  <w:num w:numId="24">
    <w:abstractNumId w:val="13"/>
  </w:num>
  <w:num w:numId="25">
    <w:abstractNumId w:val="14"/>
  </w:num>
  <w:num w:numId="26">
    <w:abstractNumId w:val="10"/>
  </w:num>
  <w:num w:numId="27">
    <w:abstractNumId w:val="7"/>
  </w:num>
  <w:num w:numId="28">
    <w:abstractNumId w:val="41"/>
  </w:num>
  <w:num w:numId="29">
    <w:abstractNumId w:val="28"/>
  </w:num>
  <w:num w:numId="30">
    <w:abstractNumId w:val="4"/>
  </w:num>
  <w:num w:numId="31">
    <w:abstractNumId w:val="23"/>
  </w:num>
  <w:num w:numId="32">
    <w:abstractNumId w:val="30"/>
  </w:num>
  <w:num w:numId="33">
    <w:abstractNumId w:val="15"/>
  </w:num>
  <w:num w:numId="34">
    <w:abstractNumId w:val="9"/>
  </w:num>
  <w:num w:numId="35">
    <w:abstractNumId w:val="43"/>
  </w:num>
  <w:num w:numId="36">
    <w:abstractNumId w:val="6"/>
  </w:num>
  <w:num w:numId="37">
    <w:abstractNumId w:val="45"/>
  </w:num>
  <w:num w:numId="38">
    <w:abstractNumId w:val="38"/>
  </w:num>
  <w:num w:numId="39">
    <w:abstractNumId w:val="16"/>
  </w:num>
  <w:num w:numId="40">
    <w:abstractNumId w:val="11"/>
  </w:num>
  <w:num w:numId="41">
    <w:abstractNumId w:val="33"/>
  </w:num>
  <w:num w:numId="42">
    <w:abstractNumId w:val="46"/>
  </w:num>
  <w:num w:numId="43">
    <w:abstractNumId w:val="39"/>
  </w:num>
  <w:num w:numId="44">
    <w:abstractNumId w:val="37"/>
  </w:num>
  <w:num w:numId="45">
    <w:abstractNumId w:val="35"/>
  </w:num>
  <w:num w:numId="46">
    <w:abstractNumId w:val="32"/>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3EF"/>
    <w:rsid w:val="00004EDB"/>
    <w:rsid w:val="00020FC9"/>
    <w:rsid w:val="00035C10"/>
    <w:rsid w:val="00040C8E"/>
    <w:rsid w:val="00045A32"/>
    <w:rsid w:val="000537A2"/>
    <w:rsid w:val="00057F1D"/>
    <w:rsid w:val="00063D06"/>
    <w:rsid w:val="00071004"/>
    <w:rsid w:val="00073D95"/>
    <w:rsid w:val="0007537B"/>
    <w:rsid w:val="00081FE7"/>
    <w:rsid w:val="0008278D"/>
    <w:rsid w:val="00083B9A"/>
    <w:rsid w:val="00084EFA"/>
    <w:rsid w:val="00087ACE"/>
    <w:rsid w:val="000955A6"/>
    <w:rsid w:val="000B02C1"/>
    <w:rsid w:val="000B3E52"/>
    <w:rsid w:val="000C4CF0"/>
    <w:rsid w:val="000C5830"/>
    <w:rsid w:val="000F445F"/>
    <w:rsid w:val="0012307E"/>
    <w:rsid w:val="0013006F"/>
    <w:rsid w:val="001327B7"/>
    <w:rsid w:val="00133035"/>
    <w:rsid w:val="00141CF0"/>
    <w:rsid w:val="001466F3"/>
    <w:rsid w:val="001513E7"/>
    <w:rsid w:val="001661B3"/>
    <w:rsid w:val="00174C92"/>
    <w:rsid w:val="00182D1C"/>
    <w:rsid w:val="00185B0F"/>
    <w:rsid w:val="00186328"/>
    <w:rsid w:val="00187BDF"/>
    <w:rsid w:val="00192AB3"/>
    <w:rsid w:val="001A7675"/>
    <w:rsid w:val="001C2991"/>
    <w:rsid w:val="001C497D"/>
    <w:rsid w:val="001D6CA4"/>
    <w:rsid w:val="002007AA"/>
    <w:rsid w:val="00207AF7"/>
    <w:rsid w:val="00212F2A"/>
    <w:rsid w:val="0021455B"/>
    <w:rsid w:val="00215AEF"/>
    <w:rsid w:val="0021771C"/>
    <w:rsid w:val="002223B0"/>
    <w:rsid w:val="002408CC"/>
    <w:rsid w:val="0026358A"/>
    <w:rsid w:val="002675E2"/>
    <w:rsid w:val="00271BBD"/>
    <w:rsid w:val="00272D35"/>
    <w:rsid w:val="00280D01"/>
    <w:rsid w:val="00283C19"/>
    <w:rsid w:val="002856BF"/>
    <w:rsid w:val="002A2677"/>
    <w:rsid w:val="002B2F4C"/>
    <w:rsid w:val="002B4E3C"/>
    <w:rsid w:val="002B6E0E"/>
    <w:rsid w:val="002E2893"/>
    <w:rsid w:val="002E713A"/>
    <w:rsid w:val="002F4F13"/>
    <w:rsid w:val="0030683D"/>
    <w:rsid w:val="0032086D"/>
    <w:rsid w:val="003340DA"/>
    <w:rsid w:val="00336E13"/>
    <w:rsid w:val="003432F8"/>
    <w:rsid w:val="00350C56"/>
    <w:rsid w:val="003622B5"/>
    <w:rsid w:val="00366FBB"/>
    <w:rsid w:val="00370C19"/>
    <w:rsid w:val="0037500C"/>
    <w:rsid w:val="00386E27"/>
    <w:rsid w:val="0039372D"/>
    <w:rsid w:val="003951AA"/>
    <w:rsid w:val="00395353"/>
    <w:rsid w:val="00396DFB"/>
    <w:rsid w:val="003B776A"/>
    <w:rsid w:val="003C397A"/>
    <w:rsid w:val="003C4B3B"/>
    <w:rsid w:val="00406267"/>
    <w:rsid w:val="004106C1"/>
    <w:rsid w:val="00426A11"/>
    <w:rsid w:val="004468AC"/>
    <w:rsid w:val="00460A86"/>
    <w:rsid w:val="00486A43"/>
    <w:rsid w:val="00495B66"/>
    <w:rsid w:val="004A0225"/>
    <w:rsid w:val="004B766F"/>
    <w:rsid w:val="004D16D7"/>
    <w:rsid w:val="004E20B7"/>
    <w:rsid w:val="004E4929"/>
    <w:rsid w:val="00514D9E"/>
    <w:rsid w:val="00516B89"/>
    <w:rsid w:val="0052200C"/>
    <w:rsid w:val="00524623"/>
    <w:rsid w:val="00526099"/>
    <w:rsid w:val="00537D3C"/>
    <w:rsid w:val="00543A8D"/>
    <w:rsid w:val="005477F4"/>
    <w:rsid w:val="00562FB0"/>
    <w:rsid w:val="00570653"/>
    <w:rsid w:val="00574926"/>
    <w:rsid w:val="0058661E"/>
    <w:rsid w:val="005A075C"/>
    <w:rsid w:val="005A102F"/>
    <w:rsid w:val="005B2E3D"/>
    <w:rsid w:val="005E2A95"/>
    <w:rsid w:val="005F62B9"/>
    <w:rsid w:val="005F6736"/>
    <w:rsid w:val="00632627"/>
    <w:rsid w:val="0066283E"/>
    <w:rsid w:val="00666068"/>
    <w:rsid w:val="006705A9"/>
    <w:rsid w:val="006718D4"/>
    <w:rsid w:val="006719F5"/>
    <w:rsid w:val="00674B51"/>
    <w:rsid w:val="00680DF8"/>
    <w:rsid w:val="006B362A"/>
    <w:rsid w:val="006C291E"/>
    <w:rsid w:val="006D0407"/>
    <w:rsid w:val="006E15FC"/>
    <w:rsid w:val="006F1243"/>
    <w:rsid w:val="006F2397"/>
    <w:rsid w:val="00706DEF"/>
    <w:rsid w:val="0073087A"/>
    <w:rsid w:val="0074257E"/>
    <w:rsid w:val="007570B1"/>
    <w:rsid w:val="007627A2"/>
    <w:rsid w:val="00767452"/>
    <w:rsid w:val="0078764E"/>
    <w:rsid w:val="00790947"/>
    <w:rsid w:val="007949EC"/>
    <w:rsid w:val="007A14A1"/>
    <w:rsid w:val="007A689C"/>
    <w:rsid w:val="007C7F92"/>
    <w:rsid w:val="007E559F"/>
    <w:rsid w:val="007E6141"/>
    <w:rsid w:val="007F284B"/>
    <w:rsid w:val="007F7A92"/>
    <w:rsid w:val="00800F95"/>
    <w:rsid w:val="0080466B"/>
    <w:rsid w:val="00832807"/>
    <w:rsid w:val="00855FEF"/>
    <w:rsid w:val="008577F9"/>
    <w:rsid w:val="008615BE"/>
    <w:rsid w:val="0087340E"/>
    <w:rsid w:val="00877AC4"/>
    <w:rsid w:val="0088538A"/>
    <w:rsid w:val="008926E7"/>
    <w:rsid w:val="00892ED7"/>
    <w:rsid w:val="00895FE3"/>
    <w:rsid w:val="008971AF"/>
    <w:rsid w:val="008B70EB"/>
    <w:rsid w:val="008C6CBE"/>
    <w:rsid w:val="008E3515"/>
    <w:rsid w:val="008E5AA0"/>
    <w:rsid w:val="009269A8"/>
    <w:rsid w:val="0094604A"/>
    <w:rsid w:val="0096448D"/>
    <w:rsid w:val="00970A88"/>
    <w:rsid w:val="00980ED7"/>
    <w:rsid w:val="00987A9A"/>
    <w:rsid w:val="009941E9"/>
    <w:rsid w:val="009A7257"/>
    <w:rsid w:val="009B431A"/>
    <w:rsid w:val="009B5F1B"/>
    <w:rsid w:val="009D0557"/>
    <w:rsid w:val="009D0717"/>
    <w:rsid w:val="009D7222"/>
    <w:rsid w:val="009F2A24"/>
    <w:rsid w:val="009F39D7"/>
    <w:rsid w:val="00A03FD7"/>
    <w:rsid w:val="00A12865"/>
    <w:rsid w:val="00A44018"/>
    <w:rsid w:val="00A44295"/>
    <w:rsid w:val="00A47D4F"/>
    <w:rsid w:val="00A803EF"/>
    <w:rsid w:val="00A96A43"/>
    <w:rsid w:val="00AA27FA"/>
    <w:rsid w:val="00AA2E04"/>
    <w:rsid w:val="00AB0F73"/>
    <w:rsid w:val="00AB72D5"/>
    <w:rsid w:val="00AC17F9"/>
    <w:rsid w:val="00AD2FCD"/>
    <w:rsid w:val="00AE2720"/>
    <w:rsid w:val="00AE2F6F"/>
    <w:rsid w:val="00B0208E"/>
    <w:rsid w:val="00B159F1"/>
    <w:rsid w:val="00B354B8"/>
    <w:rsid w:val="00B60D06"/>
    <w:rsid w:val="00B62821"/>
    <w:rsid w:val="00B644C2"/>
    <w:rsid w:val="00B670CD"/>
    <w:rsid w:val="00B67EF4"/>
    <w:rsid w:val="00B7746C"/>
    <w:rsid w:val="00B902E6"/>
    <w:rsid w:val="00B949B5"/>
    <w:rsid w:val="00B97AB2"/>
    <w:rsid w:val="00BA6B58"/>
    <w:rsid w:val="00BB15BE"/>
    <w:rsid w:val="00BB51D3"/>
    <w:rsid w:val="00BB6F4C"/>
    <w:rsid w:val="00BC07A3"/>
    <w:rsid w:val="00BC14EA"/>
    <w:rsid w:val="00BC172B"/>
    <w:rsid w:val="00BD1A88"/>
    <w:rsid w:val="00BE2BEE"/>
    <w:rsid w:val="00BF155D"/>
    <w:rsid w:val="00BF3AEB"/>
    <w:rsid w:val="00BF4985"/>
    <w:rsid w:val="00BF4F4B"/>
    <w:rsid w:val="00C007DE"/>
    <w:rsid w:val="00C058C4"/>
    <w:rsid w:val="00C0647A"/>
    <w:rsid w:val="00C43180"/>
    <w:rsid w:val="00C519F8"/>
    <w:rsid w:val="00C57B73"/>
    <w:rsid w:val="00C6312C"/>
    <w:rsid w:val="00C67738"/>
    <w:rsid w:val="00C75AA7"/>
    <w:rsid w:val="00C76B35"/>
    <w:rsid w:val="00C934C8"/>
    <w:rsid w:val="00C960FB"/>
    <w:rsid w:val="00C9730D"/>
    <w:rsid w:val="00CC65BF"/>
    <w:rsid w:val="00CD6EB9"/>
    <w:rsid w:val="00CE49D7"/>
    <w:rsid w:val="00CE6677"/>
    <w:rsid w:val="00CE7AFD"/>
    <w:rsid w:val="00CF42F1"/>
    <w:rsid w:val="00D03F2C"/>
    <w:rsid w:val="00D0547C"/>
    <w:rsid w:val="00D055C6"/>
    <w:rsid w:val="00D1764F"/>
    <w:rsid w:val="00D32608"/>
    <w:rsid w:val="00D43DD3"/>
    <w:rsid w:val="00D67E94"/>
    <w:rsid w:val="00D71323"/>
    <w:rsid w:val="00D74358"/>
    <w:rsid w:val="00D802DA"/>
    <w:rsid w:val="00D958CC"/>
    <w:rsid w:val="00D97647"/>
    <w:rsid w:val="00DB096E"/>
    <w:rsid w:val="00DB2958"/>
    <w:rsid w:val="00DB42ED"/>
    <w:rsid w:val="00DC00AD"/>
    <w:rsid w:val="00DC2C16"/>
    <w:rsid w:val="00DC5278"/>
    <w:rsid w:val="00DC778E"/>
    <w:rsid w:val="00DC79F8"/>
    <w:rsid w:val="00DE344F"/>
    <w:rsid w:val="00DF6118"/>
    <w:rsid w:val="00DF7713"/>
    <w:rsid w:val="00E11F87"/>
    <w:rsid w:val="00E23F06"/>
    <w:rsid w:val="00E42072"/>
    <w:rsid w:val="00E50C9C"/>
    <w:rsid w:val="00E6181F"/>
    <w:rsid w:val="00E61F6D"/>
    <w:rsid w:val="00E65522"/>
    <w:rsid w:val="00E66BBA"/>
    <w:rsid w:val="00E70E7B"/>
    <w:rsid w:val="00E81832"/>
    <w:rsid w:val="00E84FBB"/>
    <w:rsid w:val="00E910E2"/>
    <w:rsid w:val="00E922B9"/>
    <w:rsid w:val="00EC2F97"/>
    <w:rsid w:val="00EC65BE"/>
    <w:rsid w:val="00EC6D6E"/>
    <w:rsid w:val="00EE631C"/>
    <w:rsid w:val="00EE6787"/>
    <w:rsid w:val="00F14069"/>
    <w:rsid w:val="00F26A7C"/>
    <w:rsid w:val="00F3060A"/>
    <w:rsid w:val="00F34A63"/>
    <w:rsid w:val="00F45618"/>
    <w:rsid w:val="00F54082"/>
    <w:rsid w:val="00F8151F"/>
    <w:rsid w:val="00F83D47"/>
    <w:rsid w:val="00FA013A"/>
    <w:rsid w:val="00FA5FA8"/>
    <w:rsid w:val="00FA76E2"/>
    <w:rsid w:val="00FA7F48"/>
    <w:rsid w:val="00FB20F8"/>
    <w:rsid w:val="00FC0E0B"/>
    <w:rsid w:val="00FC14D0"/>
    <w:rsid w:val="00FC6BF8"/>
    <w:rsid w:val="00FD0039"/>
    <w:rsid w:val="00FD1920"/>
    <w:rsid w:val="00FD1E55"/>
    <w:rsid w:val="00FE0A6C"/>
    <w:rsid w:val="00FE35E2"/>
    <w:rsid w:val="00FE6926"/>
    <w:rsid w:val="00FF4C5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5:chartTrackingRefBased/>
  <w15:docId w15:val="{1001A290-C6C8-42F1-903E-BA6CF8021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3EF"/>
    <w:rPr>
      <w:rFonts w:eastAsia="Times New Roman"/>
      <w:sz w:val="24"/>
      <w:szCs w:val="24"/>
      <w:lang w:val="es-ES_tradnl" w:eastAsia="es-ES"/>
    </w:rPr>
  </w:style>
  <w:style w:type="paragraph" w:styleId="Ttulo1">
    <w:name w:val="heading 1"/>
    <w:next w:val="Normal"/>
    <w:link w:val="Ttulo1Car"/>
    <w:uiPriority w:val="9"/>
    <w:unhideWhenUsed/>
    <w:qFormat/>
    <w:rsid w:val="00081FE7"/>
    <w:pPr>
      <w:keepNext/>
      <w:keepLines/>
      <w:spacing w:after="31" w:line="259" w:lineRule="auto"/>
      <w:ind w:left="10" w:hanging="10"/>
      <w:outlineLvl w:val="0"/>
    </w:pPr>
    <w:rPr>
      <w:rFonts w:ascii="Cambria" w:eastAsia="Cambria" w:hAnsi="Cambria" w:cs="Cambria"/>
      <w:b/>
      <w:color w:val="0070C0"/>
      <w:sz w:val="28"/>
      <w:szCs w:val="22"/>
    </w:rPr>
  </w:style>
  <w:style w:type="paragraph" w:styleId="Ttulo2">
    <w:name w:val="heading 2"/>
    <w:next w:val="Normal"/>
    <w:link w:val="Ttulo2Car"/>
    <w:uiPriority w:val="9"/>
    <w:unhideWhenUsed/>
    <w:qFormat/>
    <w:rsid w:val="00081FE7"/>
    <w:pPr>
      <w:keepNext/>
      <w:keepLines/>
      <w:spacing w:line="259" w:lineRule="auto"/>
      <w:ind w:left="10" w:right="2179" w:hanging="10"/>
      <w:outlineLvl w:val="1"/>
    </w:pPr>
    <w:rPr>
      <w:rFonts w:ascii="Cambria" w:eastAsia="Cambria" w:hAnsi="Cambria" w:cs="Cambria"/>
      <w:b/>
      <w:color w:val="000000"/>
      <w:sz w:val="24"/>
      <w:szCs w:val="22"/>
    </w:rPr>
  </w:style>
  <w:style w:type="paragraph" w:styleId="Ttulo3">
    <w:name w:val="heading 3"/>
    <w:next w:val="Normal"/>
    <w:link w:val="Ttulo3Car"/>
    <w:uiPriority w:val="9"/>
    <w:unhideWhenUsed/>
    <w:qFormat/>
    <w:rsid w:val="00081FE7"/>
    <w:pPr>
      <w:keepNext/>
      <w:keepLines/>
      <w:spacing w:line="259" w:lineRule="auto"/>
      <w:ind w:left="10" w:right="2179" w:hanging="10"/>
      <w:outlineLvl w:val="2"/>
    </w:pPr>
    <w:rPr>
      <w:rFonts w:ascii="Cambria" w:eastAsia="Cambria" w:hAnsi="Cambria" w:cs="Cambria"/>
      <w:b/>
      <w:color w:val="000000"/>
      <w:sz w:val="24"/>
      <w:szCs w:val="22"/>
    </w:rPr>
  </w:style>
  <w:style w:type="paragraph" w:styleId="Ttulo4">
    <w:name w:val="heading 4"/>
    <w:next w:val="Normal"/>
    <w:link w:val="Ttulo4Car"/>
    <w:uiPriority w:val="9"/>
    <w:unhideWhenUsed/>
    <w:qFormat/>
    <w:rsid w:val="00081FE7"/>
    <w:pPr>
      <w:keepNext/>
      <w:keepLines/>
      <w:spacing w:line="259" w:lineRule="auto"/>
      <w:ind w:left="293" w:hanging="10"/>
      <w:outlineLvl w:val="3"/>
    </w:pPr>
    <w:rPr>
      <w:rFonts w:ascii="Cambria" w:eastAsia="Cambria" w:hAnsi="Cambria" w:cs="Cambria"/>
      <w:b/>
      <w:i/>
      <w:color w:val="000000"/>
      <w:sz w:val="22"/>
      <w:szCs w:val="22"/>
    </w:rPr>
  </w:style>
  <w:style w:type="paragraph" w:styleId="Ttulo5">
    <w:name w:val="heading 5"/>
    <w:next w:val="Normal"/>
    <w:link w:val="Ttulo5Car"/>
    <w:uiPriority w:val="9"/>
    <w:unhideWhenUsed/>
    <w:qFormat/>
    <w:rsid w:val="00081FE7"/>
    <w:pPr>
      <w:keepNext/>
      <w:keepLines/>
      <w:spacing w:line="259" w:lineRule="auto"/>
      <w:ind w:left="293" w:hanging="10"/>
      <w:outlineLvl w:val="4"/>
    </w:pPr>
    <w:rPr>
      <w:rFonts w:ascii="Cambria" w:eastAsia="Cambria" w:hAnsi="Cambria" w:cs="Cambria"/>
      <w:b/>
      <w:i/>
      <w:color w:val="000000"/>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03EF"/>
    <w:pPr>
      <w:tabs>
        <w:tab w:val="center" w:pos="4252"/>
        <w:tab w:val="right" w:pos="8504"/>
      </w:tabs>
    </w:pPr>
  </w:style>
  <w:style w:type="character" w:customStyle="1" w:styleId="EncabezadoCar">
    <w:name w:val="Encabezado Car"/>
    <w:link w:val="Encabezado"/>
    <w:uiPriority w:val="99"/>
    <w:rsid w:val="00A803EF"/>
    <w:rPr>
      <w:rFonts w:eastAsia="Times New Roman"/>
      <w:sz w:val="24"/>
      <w:szCs w:val="24"/>
      <w:lang w:val="es-ES_tradnl" w:eastAsia="es-ES"/>
    </w:rPr>
  </w:style>
  <w:style w:type="paragraph" w:styleId="Piedepgina">
    <w:name w:val="footer"/>
    <w:basedOn w:val="Normal"/>
    <w:link w:val="PiedepginaCar"/>
    <w:uiPriority w:val="99"/>
    <w:unhideWhenUsed/>
    <w:rsid w:val="00A803EF"/>
    <w:pPr>
      <w:tabs>
        <w:tab w:val="center" w:pos="4252"/>
        <w:tab w:val="right" w:pos="8504"/>
      </w:tabs>
    </w:pPr>
  </w:style>
  <w:style w:type="character" w:customStyle="1" w:styleId="PiedepginaCar">
    <w:name w:val="Pie de página Car"/>
    <w:link w:val="Piedepgina"/>
    <w:uiPriority w:val="99"/>
    <w:rsid w:val="00A803EF"/>
    <w:rPr>
      <w:rFonts w:eastAsia="Times New Roman"/>
      <w:sz w:val="24"/>
      <w:szCs w:val="24"/>
      <w:lang w:val="es-ES_tradnl" w:eastAsia="es-ES"/>
    </w:rPr>
  </w:style>
  <w:style w:type="paragraph" w:customStyle="1" w:styleId="Body">
    <w:name w:val="Body"/>
    <w:rsid w:val="00A803EF"/>
    <w:rPr>
      <w:rFonts w:ascii="Helvetica" w:eastAsia="ヒラギノ角ゴ Pro W3" w:hAnsi="Helvetica"/>
      <w:color w:val="000000"/>
      <w:sz w:val="24"/>
      <w:lang w:val="en-US"/>
    </w:rPr>
  </w:style>
  <w:style w:type="paragraph" w:customStyle="1" w:styleId="Cuadrculamedia1-nfasis21">
    <w:name w:val="Cuadrícula media 1 - Énfasis 21"/>
    <w:basedOn w:val="Normal"/>
    <w:uiPriority w:val="34"/>
    <w:qFormat/>
    <w:rsid w:val="00A803EF"/>
    <w:pPr>
      <w:ind w:left="720"/>
      <w:contextualSpacing/>
    </w:pPr>
    <w:rPr>
      <w:rFonts w:eastAsia="Calibri"/>
      <w:lang w:val="es-ES" w:eastAsia="en-US"/>
    </w:rPr>
  </w:style>
  <w:style w:type="character" w:styleId="Refdecomentario">
    <w:name w:val="annotation reference"/>
    <w:uiPriority w:val="99"/>
    <w:semiHidden/>
    <w:unhideWhenUsed/>
    <w:rsid w:val="00A803EF"/>
    <w:rPr>
      <w:sz w:val="16"/>
      <w:szCs w:val="16"/>
    </w:rPr>
  </w:style>
  <w:style w:type="paragraph" w:styleId="Textocomentario">
    <w:name w:val="annotation text"/>
    <w:basedOn w:val="Normal"/>
    <w:link w:val="TextocomentarioCar"/>
    <w:uiPriority w:val="99"/>
    <w:semiHidden/>
    <w:unhideWhenUsed/>
    <w:rsid w:val="00A803EF"/>
    <w:rPr>
      <w:sz w:val="20"/>
      <w:szCs w:val="20"/>
    </w:rPr>
  </w:style>
  <w:style w:type="character" w:customStyle="1" w:styleId="TextocomentarioCar">
    <w:name w:val="Texto comentario Car"/>
    <w:link w:val="Textocomentario"/>
    <w:uiPriority w:val="99"/>
    <w:semiHidden/>
    <w:rsid w:val="00A803EF"/>
    <w:rPr>
      <w:rFonts w:eastAsia="Times New Roman"/>
      <w:sz w:val="20"/>
      <w:szCs w:val="20"/>
      <w:lang w:val="es-ES_tradnl" w:eastAsia="es-ES"/>
    </w:rPr>
  </w:style>
  <w:style w:type="paragraph" w:styleId="Textodeglobo">
    <w:name w:val="Balloon Text"/>
    <w:basedOn w:val="Normal"/>
    <w:link w:val="TextodegloboCar"/>
    <w:uiPriority w:val="99"/>
    <w:semiHidden/>
    <w:unhideWhenUsed/>
    <w:rsid w:val="00A803EF"/>
    <w:rPr>
      <w:rFonts w:ascii="Segoe UI" w:hAnsi="Segoe UI" w:cs="Segoe UI"/>
      <w:sz w:val="18"/>
      <w:szCs w:val="18"/>
    </w:rPr>
  </w:style>
  <w:style w:type="character" w:customStyle="1" w:styleId="TextodegloboCar">
    <w:name w:val="Texto de globo Car"/>
    <w:link w:val="Textodeglobo"/>
    <w:uiPriority w:val="99"/>
    <w:semiHidden/>
    <w:rsid w:val="00A803EF"/>
    <w:rPr>
      <w:rFonts w:ascii="Segoe UI" w:eastAsia="Times New Roman" w:hAnsi="Segoe UI" w:cs="Segoe UI"/>
      <w:sz w:val="18"/>
      <w:szCs w:val="18"/>
      <w:lang w:val="es-ES_tradnl" w:eastAsia="es-ES"/>
    </w:rPr>
  </w:style>
  <w:style w:type="paragraph" w:customStyle="1" w:styleId="Sombreadomedio1-nfasis11">
    <w:name w:val="Sombreado medio 1 - Énfasis 11"/>
    <w:uiPriority w:val="1"/>
    <w:qFormat/>
    <w:rsid w:val="00A803EF"/>
    <w:pPr>
      <w:jc w:val="both"/>
    </w:pPr>
    <w:rPr>
      <w:sz w:val="22"/>
      <w:szCs w:val="22"/>
      <w:lang w:eastAsia="en-US"/>
    </w:rPr>
  </w:style>
  <w:style w:type="paragraph" w:customStyle="1" w:styleId="Default">
    <w:name w:val="Default"/>
    <w:rsid w:val="00B0208E"/>
    <w:pPr>
      <w:autoSpaceDE w:val="0"/>
      <w:autoSpaceDN w:val="0"/>
      <w:adjustRightInd w:val="0"/>
    </w:pPr>
    <w:rPr>
      <w:rFonts w:ascii="Arial" w:hAnsi="Arial" w:cs="Arial"/>
      <w:color w:val="000000"/>
      <w:sz w:val="24"/>
      <w:szCs w:val="24"/>
    </w:rPr>
  </w:style>
  <w:style w:type="table" w:styleId="Tablaconcuadrcula">
    <w:name w:val="Table Grid"/>
    <w:basedOn w:val="Tablanormal"/>
    <w:uiPriority w:val="59"/>
    <w:rsid w:val="003432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26358A"/>
    <w:rPr>
      <w:color w:val="0563C1"/>
      <w:u w:val="single"/>
    </w:rPr>
  </w:style>
  <w:style w:type="paragraph" w:styleId="Prrafodelista">
    <w:name w:val="List Paragraph"/>
    <w:basedOn w:val="Normal"/>
    <w:link w:val="PrrafodelistaCar"/>
    <w:uiPriority w:val="34"/>
    <w:qFormat/>
    <w:rsid w:val="00832807"/>
    <w:pPr>
      <w:spacing w:after="160" w:line="259" w:lineRule="auto"/>
      <w:ind w:left="720"/>
      <w:contextualSpacing/>
    </w:pPr>
    <w:rPr>
      <w:rFonts w:eastAsia="Calibri"/>
      <w:sz w:val="22"/>
      <w:szCs w:val="22"/>
      <w:lang w:val="es-CO" w:eastAsia="en-US"/>
    </w:rPr>
  </w:style>
  <w:style w:type="paragraph" w:styleId="Textonotapie">
    <w:name w:val="footnote text"/>
    <w:basedOn w:val="Normal"/>
    <w:link w:val="TextonotapieCar"/>
    <w:uiPriority w:val="99"/>
    <w:semiHidden/>
    <w:unhideWhenUsed/>
    <w:rsid w:val="009B431A"/>
    <w:rPr>
      <w:sz w:val="20"/>
      <w:szCs w:val="20"/>
    </w:rPr>
  </w:style>
  <w:style w:type="character" w:customStyle="1" w:styleId="TextonotapieCar">
    <w:name w:val="Texto nota pie Car"/>
    <w:link w:val="Textonotapie"/>
    <w:uiPriority w:val="99"/>
    <w:semiHidden/>
    <w:rsid w:val="009B431A"/>
    <w:rPr>
      <w:rFonts w:eastAsia="Times New Roman"/>
      <w:lang w:val="es-ES_tradnl" w:eastAsia="es-ES"/>
    </w:rPr>
  </w:style>
  <w:style w:type="character" w:styleId="Refdenotaalpie">
    <w:name w:val="footnote reference"/>
    <w:uiPriority w:val="99"/>
    <w:semiHidden/>
    <w:unhideWhenUsed/>
    <w:rsid w:val="009B431A"/>
    <w:rPr>
      <w:vertAlign w:val="superscript"/>
    </w:rPr>
  </w:style>
  <w:style w:type="character" w:customStyle="1" w:styleId="Mencinsinresolver1">
    <w:name w:val="Mención sin resolver1"/>
    <w:uiPriority w:val="99"/>
    <w:semiHidden/>
    <w:unhideWhenUsed/>
    <w:rsid w:val="00EE631C"/>
    <w:rPr>
      <w:color w:val="605E5C"/>
      <w:shd w:val="clear" w:color="auto" w:fill="E1DFDD"/>
    </w:rPr>
  </w:style>
  <w:style w:type="character" w:customStyle="1" w:styleId="Ttulo1Car">
    <w:name w:val="Título 1 Car"/>
    <w:basedOn w:val="Fuentedeprrafopredeter"/>
    <w:link w:val="Ttulo1"/>
    <w:uiPriority w:val="9"/>
    <w:rsid w:val="00081FE7"/>
    <w:rPr>
      <w:rFonts w:ascii="Cambria" w:eastAsia="Cambria" w:hAnsi="Cambria" w:cs="Cambria"/>
      <w:b/>
      <w:color w:val="0070C0"/>
      <w:sz w:val="28"/>
      <w:szCs w:val="22"/>
    </w:rPr>
  </w:style>
  <w:style w:type="character" w:customStyle="1" w:styleId="Ttulo2Car">
    <w:name w:val="Título 2 Car"/>
    <w:basedOn w:val="Fuentedeprrafopredeter"/>
    <w:link w:val="Ttulo2"/>
    <w:uiPriority w:val="9"/>
    <w:rsid w:val="00081FE7"/>
    <w:rPr>
      <w:rFonts w:ascii="Cambria" w:eastAsia="Cambria" w:hAnsi="Cambria" w:cs="Cambria"/>
      <w:b/>
      <w:color w:val="000000"/>
      <w:sz w:val="24"/>
      <w:szCs w:val="22"/>
    </w:rPr>
  </w:style>
  <w:style w:type="character" w:customStyle="1" w:styleId="Ttulo3Car">
    <w:name w:val="Título 3 Car"/>
    <w:basedOn w:val="Fuentedeprrafopredeter"/>
    <w:link w:val="Ttulo3"/>
    <w:uiPriority w:val="9"/>
    <w:rsid w:val="00081FE7"/>
    <w:rPr>
      <w:rFonts w:ascii="Cambria" w:eastAsia="Cambria" w:hAnsi="Cambria" w:cs="Cambria"/>
      <w:b/>
      <w:color w:val="000000"/>
      <w:sz w:val="24"/>
      <w:szCs w:val="22"/>
    </w:rPr>
  </w:style>
  <w:style w:type="character" w:customStyle="1" w:styleId="Ttulo4Car">
    <w:name w:val="Título 4 Car"/>
    <w:basedOn w:val="Fuentedeprrafopredeter"/>
    <w:link w:val="Ttulo4"/>
    <w:uiPriority w:val="9"/>
    <w:rsid w:val="00081FE7"/>
    <w:rPr>
      <w:rFonts w:ascii="Cambria" w:eastAsia="Cambria" w:hAnsi="Cambria" w:cs="Cambria"/>
      <w:b/>
      <w:i/>
      <w:color w:val="000000"/>
      <w:sz w:val="22"/>
      <w:szCs w:val="22"/>
    </w:rPr>
  </w:style>
  <w:style w:type="character" w:customStyle="1" w:styleId="Ttulo5Car">
    <w:name w:val="Título 5 Car"/>
    <w:basedOn w:val="Fuentedeprrafopredeter"/>
    <w:link w:val="Ttulo5"/>
    <w:uiPriority w:val="9"/>
    <w:rsid w:val="00081FE7"/>
    <w:rPr>
      <w:rFonts w:ascii="Cambria" w:eastAsia="Cambria" w:hAnsi="Cambria" w:cs="Cambria"/>
      <w:b/>
      <w:i/>
      <w:color w:val="000000"/>
      <w:sz w:val="22"/>
      <w:szCs w:val="22"/>
    </w:rPr>
  </w:style>
  <w:style w:type="paragraph" w:customStyle="1" w:styleId="Cuadrculamedia1-nfasis210">
    <w:name w:val="Cuadrícula media 1 - Énfasis 21"/>
    <w:basedOn w:val="Normal"/>
    <w:uiPriority w:val="34"/>
    <w:qFormat/>
    <w:rsid w:val="00081FE7"/>
    <w:pPr>
      <w:ind w:left="720"/>
      <w:contextualSpacing/>
    </w:pPr>
    <w:rPr>
      <w:rFonts w:eastAsia="Calibri"/>
      <w:lang w:val="es-ES" w:eastAsia="en-US"/>
    </w:rPr>
  </w:style>
  <w:style w:type="paragraph" w:customStyle="1" w:styleId="Sombreadomedio1-nfasis110">
    <w:name w:val="Sombreado medio 1 - Énfasis 11"/>
    <w:uiPriority w:val="1"/>
    <w:qFormat/>
    <w:rsid w:val="00081FE7"/>
    <w:pPr>
      <w:jc w:val="both"/>
    </w:pPr>
    <w:rPr>
      <w:sz w:val="22"/>
      <w:szCs w:val="22"/>
      <w:lang w:eastAsia="en-US"/>
    </w:rPr>
  </w:style>
  <w:style w:type="paragraph" w:styleId="Sinespaciado">
    <w:name w:val="No Spacing"/>
    <w:uiPriority w:val="1"/>
    <w:qFormat/>
    <w:rsid w:val="00081FE7"/>
    <w:pPr>
      <w:ind w:left="10" w:right="2178" w:hanging="10"/>
      <w:jc w:val="both"/>
    </w:pPr>
    <w:rPr>
      <w:rFonts w:ascii="Cambria" w:eastAsia="Cambria" w:hAnsi="Cambria" w:cs="Cambria"/>
      <w:color w:val="000000"/>
      <w:sz w:val="24"/>
      <w:szCs w:val="22"/>
    </w:rPr>
  </w:style>
  <w:style w:type="character" w:customStyle="1" w:styleId="PrrafodelistaCar">
    <w:name w:val="Párrafo de lista Car"/>
    <w:link w:val="Prrafodelista"/>
    <w:uiPriority w:val="34"/>
    <w:locked/>
    <w:rsid w:val="00081FE7"/>
    <w:rPr>
      <w:sz w:val="22"/>
      <w:szCs w:val="22"/>
      <w:lang w:eastAsia="en-US"/>
    </w:rPr>
  </w:style>
  <w:style w:type="numbering" w:customStyle="1" w:styleId="Estilo1">
    <w:name w:val="Estilo1"/>
    <w:uiPriority w:val="99"/>
    <w:rsid w:val="00081FE7"/>
    <w:pPr>
      <w:numPr>
        <w:numId w:val="22"/>
      </w:numPr>
    </w:pPr>
  </w:style>
  <w:style w:type="numbering" w:customStyle="1" w:styleId="Estilo2">
    <w:name w:val="Estilo2"/>
    <w:uiPriority w:val="99"/>
    <w:rsid w:val="00081FE7"/>
    <w:pPr>
      <w:numPr>
        <w:numId w:val="27"/>
      </w:numPr>
    </w:pPr>
  </w:style>
  <w:style w:type="numbering" w:customStyle="1" w:styleId="Estilo3">
    <w:name w:val="Estilo3"/>
    <w:uiPriority w:val="99"/>
    <w:rsid w:val="00081FE7"/>
    <w:pPr>
      <w:numPr>
        <w:numId w:val="30"/>
      </w:numPr>
    </w:pPr>
  </w:style>
  <w:style w:type="paragraph" w:styleId="Asuntodelcomentario">
    <w:name w:val="annotation subject"/>
    <w:basedOn w:val="Textocomentario"/>
    <w:next w:val="Textocomentario"/>
    <w:link w:val="AsuntodelcomentarioCar"/>
    <w:uiPriority w:val="99"/>
    <w:semiHidden/>
    <w:unhideWhenUsed/>
    <w:rsid w:val="00081FE7"/>
    <w:pPr>
      <w:spacing w:after="3" w:line="248" w:lineRule="auto"/>
      <w:ind w:left="10" w:right="2178" w:hanging="10"/>
      <w:jc w:val="both"/>
    </w:pPr>
    <w:rPr>
      <w:rFonts w:ascii="Cambria" w:eastAsia="Cambria" w:hAnsi="Cambria" w:cs="Cambria"/>
      <w:b/>
      <w:bCs/>
      <w:color w:val="000000"/>
      <w:lang w:val="es-CO" w:eastAsia="es-CO"/>
    </w:rPr>
  </w:style>
  <w:style w:type="character" w:customStyle="1" w:styleId="AsuntodelcomentarioCar">
    <w:name w:val="Asunto del comentario Car"/>
    <w:basedOn w:val="TextocomentarioCar"/>
    <w:link w:val="Asuntodelcomentario"/>
    <w:uiPriority w:val="99"/>
    <w:semiHidden/>
    <w:rsid w:val="00081FE7"/>
    <w:rPr>
      <w:rFonts w:ascii="Cambria" w:eastAsia="Cambria" w:hAnsi="Cambria" w:cs="Cambria"/>
      <w:b/>
      <w:bCs/>
      <w:color w:val="000000"/>
      <w:sz w:val="20"/>
      <w:szCs w:val="20"/>
      <w:lang w:val="es-ES_tradnl" w:eastAsia="es-ES"/>
    </w:rPr>
  </w:style>
  <w:style w:type="paragraph" w:styleId="Revisin">
    <w:name w:val="Revision"/>
    <w:hidden/>
    <w:uiPriority w:val="99"/>
    <w:rsid w:val="00081FE7"/>
    <w:rPr>
      <w:rFonts w:ascii="Cambria" w:eastAsia="Cambria" w:hAnsi="Cambria" w:cs="Cambria"/>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4088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endiciondecuentas@uiaf.gov.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reniciondecuentas@uiaf.gov.co"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100.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B6CA3-A6A6-45A4-BD7C-649F2704C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42</Pages>
  <Words>13855</Words>
  <Characters>76740</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Crèdito Pùblico</Company>
  <LinksUpToDate>false</LinksUpToDate>
  <CharactersWithSpaces>90415</CharactersWithSpaces>
  <SharedDoc>false</SharedDoc>
  <HLinks>
    <vt:vector size="6" baseType="variant">
      <vt:variant>
        <vt:i4>4128813</vt:i4>
      </vt:variant>
      <vt:variant>
        <vt:i4>0</vt:i4>
      </vt:variant>
      <vt:variant>
        <vt:i4>0</vt:i4>
      </vt:variant>
      <vt:variant>
        <vt:i4>5</vt:i4>
      </vt:variant>
      <vt:variant>
        <vt:lpwstr>http://www.uiaf.gov.co/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Alejandro Rodriguez Rodriguez</dc:creator>
  <cp:keywords/>
  <dc:description/>
  <cp:lastModifiedBy>Carlos Julio Buitrago Ortiz</cp:lastModifiedBy>
  <cp:revision>14</cp:revision>
  <cp:lastPrinted>2022-08-23T21:45:00Z</cp:lastPrinted>
  <dcterms:created xsi:type="dcterms:W3CDTF">2023-01-25T12:08:00Z</dcterms:created>
  <dcterms:modified xsi:type="dcterms:W3CDTF">2023-01-25T22:24:00Z</dcterms:modified>
</cp:coreProperties>
</file>